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9AD2" w14:textId="77777777" w:rsidR="00653455" w:rsidRDefault="00653455" w:rsidP="0058758A">
      <w:pPr>
        <w:rPr>
          <w:rFonts w:ascii="Arial" w:hAnsi="Arial" w:cs="Arial"/>
          <w:b/>
          <w:bCs/>
          <w:lang w:val="en-US"/>
        </w:rPr>
      </w:pPr>
    </w:p>
    <w:p w14:paraId="7FFA36AD" w14:textId="1303F6CC" w:rsidR="0058758A" w:rsidRPr="00202C0F" w:rsidRDefault="0058758A" w:rsidP="0058758A">
      <w:pPr>
        <w:rPr>
          <w:rFonts w:ascii="Arial" w:hAnsi="Arial" w:cs="Arial"/>
          <w:lang w:val="en-US"/>
        </w:rPr>
      </w:pPr>
      <w:r w:rsidRPr="00202C0F">
        <w:rPr>
          <w:rFonts w:ascii="Arial" w:hAnsi="Arial" w:cs="Arial"/>
          <w:b/>
          <w:bCs/>
          <w:lang w:val="en-US"/>
        </w:rPr>
        <w:t xml:space="preserve">International Technology Transfer Center </w:t>
      </w:r>
      <w:r w:rsidR="003D622F">
        <w:rPr>
          <w:rFonts w:ascii="Arial" w:hAnsi="Arial" w:cs="Arial"/>
          <w:b/>
          <w:bCs/>
          <w:lang w:val="en-US"/>
        </w:rPr>
        <w:t xml:space="preserve">(ITTC) </w:t>
      </w:r>
      <w:r w:rsidRPr="00202C0F">
        <w:rPr>
          <w:rFonts w:ascii="Arial" w:hAnsi="Arial" w:cs="Arial"/>
          <w:b/>
          <w:bCs/>
          <w:lang w:val="en-US"/>
        </w:rPr>
        <w:t>Network</w:t>
      </w:r>
      <w:r>
        <w:rPr>
          <w:rFonts w:ascii="Arial" w:hAnsi="Arial" w:cs="Arial"/>
          <w:b/>
          <w:bCs/>
          <w:lang w:val="en-US"/>
        </w:rPr>
        <w:t xml:space="preserve"> Code of Ethics</w:t>
      </w:r>
    </w:p>
    <w:p w14:paraId="41774CDF" w14:textId="3C98C8AC" w:rsidR="00F25700" w:rsidRPr="003D622F" w:rsidRDefault="008C3079" w:rsidP="0058758A">
      <w:pPr>
        <w:rPr>
          <w:rFonts w:cstheme="minorHAnsi"/>
          <w:lang w:val="en-US"/>
        </w:rPr>
      </w:pPr>
      <w:r w:rsidRPr="003D622F">
        <w:rPr>
          <w:rFonts w:cstheme="minorHAnsi"/>
          <w:lang w:val="en-US"/>
        </w:rPr>
        <w:t xml:space="preserve">The ITTC mission is possible thanks to people and organizations committed to the incorporation of scientific evidence at </w:t>
      </w:r>
      <w:r w:rsidR="0058758A" w:rsidRPr="003D622F">
        <w:rPr>
          <w:rFonts w:cstheme="minorHAnsi"/>
          <w:lang w:val="en-US"/>
        </w:rPr>
        <w:t>individual, organizational, and systems levels while</w:t>
      </w:r>
      <w:r w:rsidRPr="003D622F">
        <w:rPr>
          <w:rFonts w:cstheme="minorHAnsi"/>
          <w:lang w:val="en-US"/>
        </w:rPr>
        <w:t xml:space="preserve"> adhering to </w:t>
      </w:r>
      <w:r w:rsidR="000639B9" w:rsidRPr="003D622F">
        <w:rPr>
          <w:rFonts w:cstheme="minorHAnsi"/>
          <w:lang w:val="en-US"/>
        </w:rPr>
        <w:t>h</w:t>
      </w:r>
      <w:r w:rsidRPr="003D622F">
        <w:rPr>
          <w:rFonts w:cstheme="minorHAnsi"/>
          <w:lang w:val="en-US"/>
        </w:rPr>
        <w:t xml:space="preserve">uman </w:t>
      </w:r>
      <w:r w:rsidR="000639B9" w:rsidRPr="003D622F">
        <w:rPr>
          <w:rFonts w:cstheme="minorHAnsi"/>
          <w:lang w:val="en-US"/>
        </w:rPr>
        <w:t>r</w:t>
      </w:r>
      <w:r w:rsidRPr="003D622F">
        <w:rPr>
          <w:rFonts w:cstheme="minorHAnsi"/>
          <w:lang w:val="en-US"/>
        </w:rPr>
        <w:t>ights and ethical values ​​related to health care, teaching and research.</w:t>
      </w:r>
    </w:p>
    <w:p w14:paraId="044E5A3A" w14:textId="285E87DA" w:rsidR="00F25700" w:rsidRPr="003D622F" w:rsidRDefault="00F25700" w:rsidP="0058758A">
      <w:pPr>
        <w:rPr>
          <w:rFonts w:cstheme="minorHAnsi"/>
          <w:lang w:val="en-US"/>
        </w:rPr>
      </w:pPr>
      <w:r w:rsidRPr="003D622F">
        <w:rPr>
          <w:rFonts w:cstheme="minorHAnsi"/>
          <w:lang w:val="en-US"/>
        </w:rPr>
        <w:t>The credibility and legitimacy of</w:t>
      </w:r>
      <w:r w:rsidR="008C3079" w:rsidRPr="003D622F">
        <w:rPr>
          <w:rFonts w:cstheme="minorHAnsi"/>
          <w:lang w:val="en-US"/>
        </w:rPr>
        <w:t xml:space="preserve"> </w:t>
      </w:r>
      <w:r w:rsidR="00FC44D9" w:rsidRPr="003D622F">
        <w:rPr>
          <w:rFonts w:cstheme="minorHAnsi"/>
          <w:lang w:val="en-US"/>
        </w:rPr>
        <w:t>the</w:t>
      </w:r>
      <w:r w:rsidR="008C3079" w:rsidRPr="003D622F">
        <w:rPr>
          <w:rFonts w:cstheme="minorHAnsi"/>
          <w:lang w:val="en-US"/>
        </w:rPr>
        <w:t xml:space="preserve"> ITTC</w:t>
      </w:r>
      <w:r w:rsidR="0058758A" w:rsidRPr="003D622F">
        <w:rPr>
          <w:rFonts w:cstheme="minorHAnsi"/>
          <w:lang w:val="en-US"/>
        </w:rPr>
        <w:t xml:space="preserve"> Network</w:t>
      </w:r>
      <w:r w:rsidR="000639B9" w:rsidRPr="003D622F">
        <w:rPr>
          <w:rFonts w:cstheme="minorHAnsi"/>
          <w:lang w:val="en-US"/>
        </w:rPr>
        <w:t xml:space="preserve"> </w:t>
      </w:r>
      <w:r w:rsidRPr="003D622F">
        <w:rPr>
          <w:rFonts w:cstheme="minorHAnsi"/>
          <w:lang w:val="en-US"/>
        </w:rPr>
        <w:t>is based on the quality of the service</w:t>
      </w:r>
      <w:r w:rsidR="00FC44D9" w:rsidRPr="003D622F">
        <w:rPr>
          <w:rFonts w:cstheme="minorHAnsi"/>
          <w:lang w:val="en-US"/>
        </w:rPr>
        <w:t xml:space="preserve">s </w:t>
      </w:r>
      <w:r w:rsidRPr="003D622F">
        <w:rPr>
          <w:rFonts w:cstheme="minorHAnsi"/>
          <w:lang w:val="en-US"/>
        </w:rPr>
        <w:t>provided. This implies not only excellence in</w:t>
      </w:r>
      <w:r w:rsidR="0058758A" w:rsidRPr="003D622F">
        <w:rPr>
          <w:rFonts w:cstheme="minorHAnsi"/>
          <w:lang w:val="en-US"/>
        </w:rPr>
        <w:t xml:space="preserve"> </w:t>
      </w:r>
      <w:r w:rsidRPr="003D622F">
        <w:rPr>
          <w:rFonts w:cstheme="minorHAnsi"/>
          <w:lang w:val="en-US"/>
        </w:rPr>
        <w:t>processes and products, but also</w:t>
      </w:r>
      <w:r w:rsidR="00FC44D9" w:rsidRPr="003D622F">
        <w:rPr>
          <w:rFonts w:cstheme="minorHAnsi"/>
          <w:lang w:val="en-US"/>
        </w:rPr>
        <w:t xml:space="preserve"> careful consideration o</w:t>
      </w:r>
      <w:r w:rsidR="0058758A" w:rsidRPr="003D622F">
        <w:rPr>
          <w:rFonts w:cstheme="minorHAnsi"/>
          <w:lang w:val="en-US"/>
        </w:rPr>
        <w:t>f</w:t>
      </w:r>
      <w:r w:rsidR="00FC44D9" w:rsidRPr="003D622F">
        <w:rPr>
          <w:rFonts w:cstheme="minorHAnsi"/>
          <w:lang w:val="en-US"/>
        </w:rPr>
        <w:t xml:space="preserve"> relationships and interactions with stakeholders at all levels and across sectors.</w:t>
      </w:r>
      <w:r w:rsidRPr="003D622F">
        <w:rPr>
          <w:rFonts w:cstheme="minorHAnsi"/>
          <w:lang w:val="en-US"/>
        </w:rPr>
        <w:t xml:space="preserve"> </w:t>
      </w:r>
    </w:p>
    <w:p w14:paraId="43E7EC21" w14:textId="3537B44C" w:rsidR="00FF5958" w:rsidRPr="003D622F" w:rsidRDefault="000639B9" w:rsidP="0058758A">
      <w:pPr>
        <w:rPr>
          <w:rFonts w:cstheme="minorHAnsi"/>
          <w:highlight w:val="yellow"/>
          <w:lang w:val="en-US"/>
        </w:rPr>
      </w:pPr>
      <w:r w:rsidRPr="003D622F">
        <w:rPr>
          <w:rFonts w:cstheme="minorHAnsi"/>
          <w:lang w:val="en-US"/>
        </w:rPr>
        <w:t>It is the responsibility of each ITTC to ensure that all individuals working on behalf of the ITTC agree to adhere to the following code.</w:t>
      </w:r>
    </w:p>
    <w:p w14:paraId="2B0DB4C2" w14:textId="36672183" w:rsidR="00620FAA" w:rsidRPr="003D622F" w:rsidRDefault="00620FAA" w:rsidP="0058758A">
      <w:pPr>
        <w:pStyle w:val="ListParagraph"/>
        <w:numPr>
          <w:ilvl w:val="0"/>
          <w:numId w:val="9"/>
        </w:numPr>
        <w:rPr>
          <w:rFonts w:cstheme="minorHAnsi"/>
          <w:lang w:val="en-US"/>
        </w:rPr>
      </w:pPr>
      <w:r w:rsidRPr="003D622F">
        <w:rPr>
          <w:rFonts w:cstheme="minorHAnsi"/>
          <w:b/>
          <w:bCs/>
          <w:lang w:val="en-US"/>
        </w:rPr>
        <w:t>Institutional code of ethics.</w:t>
      </w:r>
      <w:r w:rsidRPr="003D622F">
        <w:rPr>
          <w:rFonts w:cstheme="minorHAnsi"/>
          <w:lang w:val="en-US"/>
        </w:rPr>
        <w:t xml:space="preserve"> </w:t>
      </w:r>
      <w:r w:rsidR="000639B9" w:rsidRPr="003D622F">
        <w:rPr>
          <w:rFonts w:cstheme="minorHAnsi"/>
          <w:lang w:val="en-US"/>
        </w:rPr>
        <w:t>All those working on behalf of an ITTC</w:t>
      </w:r>
      <w:r w:rsidRPr="003D622F">
        <w:rPr>
          <w:rFonts w:cstheme="minorHAnsi"/>
          <w:lang w:val="en-US"/>
        </w:rPr>
        <w:t xml:space="preserve"> must adhere to their </w:t>
      </w:r>
      <w:r w:rsidR="000639B9" w:rsidRPr="003D622F">
        <w:rPr>
          <w:rFonts w:cstheme="minorHAnsi"/>
          <w:lang w:val="en-US"/>
        </w:rPr>
        <w:t xml:space="preserve">own university’s </w:t>
      </w:r>
      <w:r w:rsidRPr="003D622F">
        <w:rPr>
          <w:rFonts w:cstheme="minorHAnsi"/>
          <w:lang w:val="en-US"/>
        </w:rPr>
        <w:t>code of ethics.</w:t>
      </w:r>
    </w:p>
    <w:p w14:paraId="186FB47C" w14:textId="012F9D8D" w:rsidR="00A82731" w:rsidRPr="003D622F" w:rsidRDefault="009D7170" w:rsidP="00880E14">
      <w:pPr>
        <w:pStyle w:val="ListParagraph"/>
        <w:numPr>
          <w:ilvl w:val="0"/>
          <w:numId w:val="9"/>
        </w:numPr>
        <w:spacing w:after="0"/>
        <w:rPr>
          <w:rFonts w:cstheme="minorHAnsi"/>
          <w:lang w:val="en-US"/>
        </w:rPr>
      </w:pPr>
      <w:r w:rsidRPr="003D622F">
        <w:rPr>
          <w:rFonts w:cstheme="minorHAnsi"/>
          <w:b/>
          <w:bCs/>
          <w:lang w:val="en-US"/>
        </w:rPr>
        <w:t>Scope of practice</w:t>
      </w:r>
      <w:r w:rsidR="00A82731" w:rsidRPr="003D622F">
        <w:rPr>
          <w:rFonts w:cstheme="minorHAnsi"/>
          <w:b/>
          <w:bCs/>
          <w:lang w:val="en-US"/>
        </w:rPr>
        <w:t>.</w:t>
      </w:r>
      <w:r w:rsidRPr="003D622F">
        <w:rPr>
          <w:rFonts w:cstheme="minorHAnsi"/>
          <w:lang w:val="en-US"/>
        </w:rPr>
        <w:t xml:space="preserve"> </w:t>
      </w:r>
      <w:r w:rsidR="000639B9" w:rsidRPr="003D622F">
        <w:rPr>
          <w:rFonts w:cstheme="minorHAnsi"/>
          <w:lang w:val="en-US"/>
        </w:rPr>
        <w:t xml:space="preserve">All those working on behalf of an ITTC </w:t>
      </w:r>
      <w:r w:rsidR="006034F3" w:rsidRPr="003D622F">
        <w:rPr>
          <w:rFonts w:cstheme="minorHAnsi"/>
          <w:lang w:val="en-US"/>
        </w:rPr>
        <w:t xml:space="preserve">must </w:t>
      </w:r>
      <w:r w:rsidR="000639B9" w:rsidRPr="003D622F">
        <w:rPr>
          <w:rFonts w:cstheme="minorHAnsi"/>
          <w:lang w:val="en-US"/>
        </w:rPr>
        <w:t>limit their scope of activities</w:t>
      </w:r>
      <w:r w:rsidR="00FF2185" w:rsidRPr="003D622F">
        <w:rPr>
          <w:rFonts w:cstheme="minorHAnsi"/>
          <w:lang w:val="en-US"/>
        </w:rPr>
        <w:t xml:space="preserve"> to </w:t>
      </w:r>
      <w:r w:rsidR="000639B9" w:rsidRPr="003D622F">
        <w:rPr>
          <w:rFonts w:cstheme="minorHAnsi"/>
          <w:lang w:val="en-US"/>
        </w:rPr>
        <w:t xml:space="preserve">areas related to </w:t>
      </w:r>
      <w:r w:rsidR="00FF2185" w:rsidRPr="003D622F">
        <w:rPr>
          <w:rFonts w:cstheme="minorHAnsi"/>
          <w:lang w:val="en-US"/>
        </w:rPr>
        <w:t>drug demand reduction</w:t>
      </w:r>
      <w:r w:rsidR="00880E14">
        <w:rPr>
          <w:rFonts w:cstheme="minorHAnsi"/>
          <w:lang w:val="en-US"/>
        </w:rPr>
        <w:t xml:space="preserve"> that align with international standards</w:t>
      </w:r>
      <w:r w:rsidR="00FF2185" w:rsidRPr="003D622F">
        <w:rPr>
          <w:rFonts w:cstheme="minorHAnsi"/>
          <w:lang w:val="en-US"/>
        </w:rPr>
        <w:t>, including</w:t>
      </w:r>
      <w:r w:rsidRPr="003D622F">
        <w:rPr>
          <w:rFonts w:cstheme="minorHAnsi"/>
          <w:lang w:val="en-US"/>
        </w:rPr>
        <w:t xml:space="preserve"> substance use prevention</w:t>
      </w:r>
      <w:r w:rsidR="00A82731" w:rsidRPr="003D622F">
        <w:rPr>
          <w:rFonts w:cstheme="minorHAnsi"/>
          <w:lang w:val="en-US"/>
        </w:rPr>
        <w:t>,</w:t>
      </w:r>
      <w:r w:rsidRPr="003D622F">
        <w:rPr>
          <w:rFonts w:cstheme="minorHAnsi"/>
          <w:lang w:val="en-US"/>
        </w:rPr>
        <w:t xml:space="preserve"> </w:t>
      </w:r>
      <w:r w:rsidR="00FF2185" w:rsidRPr="003D622F">
        <w:rPr>
          <w:rFonts w:cstheme="minorHAnsi"/>
          <w:lang w:val="en-US"/>
        </w:rPr>
        <w:t xml:space="preserve">harm reduction, </w:t>
      </w:r>
      <w:r w:rsidRPr="003D622F">
        <w:rPr>
          <w:rFonts w:cstheme="minorHAnsi"/>
          <w:lang w:val="en-US"/>
        </w:rPr>
        <w:t>treatment,</w:t>
      </w:r>
      <w:r w:rsidR="00A82731" w:rsidRPr="003D622F">
        <w:rPr>
          <w:rFonts w:cstheme="minorHAnsi"/>
          <w:lang w:val="en-US"/>
        </w:rPr>
        <w:t xml:space="preserve"> and recovery.</w:t>
      </w:r>
      <w:r w:rsidRPr="003D622F">
        <w:rPr>
          <w:rFonts w:cstheme="minorHAnsi"/>
          <w:lang w:val="en-US"/>
        </w:rPr>
        <w:t xml:space="preserve"> </w:t>
      </w:r>
    </w:p>
    <w:p w14:paraId="5B4555CD" w14:textId="04C891CF" w:rsidR="00880E14" w:rsidRPr="00880E14" w:rsidRDefault="00880E14" w:rsidP="00880E14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lang w:val="en-US"/>
        </w:rPr>
      </w:pPr>
      <w:r>
        <w:rPr>
          <w:b/>
          <w:bCs/>
          <w:lang w:val="en-US"/>
        </w:rPr>
        <w:t>Role in advocacy.</w:t>
      </w:r>
      <w:r>
        <w:rPr>
          <w:lang w:val="en-US"/>
        </w:rPr>
        <w:t xml:space="preserve"> When outreaching to policymakers or other stakeholders, all those working on behalf of an ITTC must promote human rights-based and evidence-based practices and policies. </w:t>
      </w:r>
    </w:p>
    <w:p w14:paraId="7A704DB3" w14:textId="0E5E85F2" w:rsidR="004A05C4" w:rsidRPr="003D622F" w:rsidRDefault="004A05C4" w:rsidP="0058758A">
      <w:pPr>
        <w:pStyle w:val="ListParagraph"/>
        <w:numPr>
          <w:ilvl w:val="0"/>
          <w:numId w:val="9"/>
        </w:numPr>
        <w:rPr>
          <w:rFonts w:cstheme="minorHAnsi"/>
          <w:lang w:val="en-US"/>
        </w:rPr>
      </w:pPr>
      <w:r w:rsidRPr="003D622F">
        <w:rPr>
          <w:rFonts w:cstheme="minorHAnsi"/>
          <w:b/>
          <w:bCs/>
          <w:lang w:val="en-US"/>
        </w:rPr>
        <w:t>Personal responsibility</w:t>
      </w:r>
      <w:r w:rsidRPr="003D622F">
        <w:rPr>
          <w:rFonts w:cstheme="minorHAnsi"/>
          <w:lang w:val="en-US"/>
        </w:rPr>
        <w:t xml:space="preserve">. </w:t>
      </w:r>
      <w:r w:rsidR="006034F3" w:rsidRPr="003D622F">
        <w:rPr>
          <w:rFonts w:cstheme="minorHAnsi"/>
          <w:lang w:val="en-US"/>
        </w:rPr>
        <w:t>All those working on behalf of an ITTC</w:t>
      </w:r>
      <w:r w:rsidRPr="003D622F">
        <w:rPr>
          <w:rFonts w:cstheme="minorHAnsi"/>
          <w:lang w:val="en-US"/>
        </w:rPr>
        <w:t xml:space="preserve"> seek to help reduce the damage caused by substance use</w:t>
      </w:r>
      <w:r w:rsidR="00867061" w:rsidRPr="003D622F">
        <w:rPr>
          <w:rFonts w:cstheme="minorHAnsi"/>
          <w:lang w:val="en-US"/>
        </w:rPr>
        <w:t xml:space="preserve"> in individuals, families, and communities. This </w:t>
      </w:r>
      <w:r w:rsidRPr="003D622F">
        <w:rPr>
          <w:rFonts w:cstheme="minorHAnsi"/>
          <w:lang w:val="en-US"/>
        </w:rPr>
        <w:t xml:space="preserve">goal should </w:t>
      </w:r>
      <w:r w:rsidR="006034F3" w:rsidRPr="003D622F">
        <w:rPr>
          <w:rFonts w:cstheme="minorHAnsi"/>
          <w:lang w:val="en-US"/>
        </w:rPr>
        <w:t>always guide their work</w:t>
      </w:r>
      <w:r w:rsidRPr="003D622F">
        <w:rPr>
          <w:rFonts w:cstheme="minorHAnsi"/>
          <w:lang w:val="en-US"/>
        </w:rPr>
        <w:t>. </w:t>
      </w:r>
      <w:r w:rsidR="006034F3" w:rsidRPr="003D622F">
        <w:rPr>
          <w:rFonts w:cstheme="minorHAnsi"/>
          <w:lang w:val="en-US"/>
        </w:rPr>
        <w:t>They</w:t>
      </w:r>
      <w:r w:rsidR="00867061" w:rsidRPr="003D622F">
        <w:rPr>
          <w:rFonts w:cstheme="minorHAnsi"/>
          <w:lang w:val="en-US"/>
        </w:rPr>
        <w:t xml:space="preserve"> </w:t>
      </w:r>
      <w:r w:rsidRPr="003D622F">
        <w:rPr>
          <w:rFonts w:cstheme="minorHAnsi"/>
          <w:lang w:val="en-US"/>
        </w:rPr>
        <w:t xml:space="preserve">should </w:t>
      </w:r>
      <w:r w:rsidR="006034F3" w:rsidRPr="003D622F">
        <w:rPr>
          <w:rFonts w:cstheme="minorHAnsi"/>
          <w:lang w:val="en-US"/>
        </w:rPr>
        <w:t>always act in a professional and responsible way</w:t>
      </w:r>
      <w:r w:rsidRPr="003D622F">
        <w:rPr>
          <w:rFonts w:cstheme="minorHAnsi"/>
          <w:lang w:val="en-US"/>
        </w:rPr>
        <w:t xml:space="preserve">. They should be honest and fair in their professional dealings, act with integrity, be conscientious, </w:t>
      </w:r>
      <w:r w:rsidR="006034F3" w:rsidRPr="003D622F">
        <w:rPr>
          <w:rFonts w:cstheme="minorHAnsi"/>
          <w:lang w:val="en-US"/>
        </w:rPr>
        <w:t>careful,</w:t>
      </w:r>
      <w:r w:rsidRPr="003D622F">
        <w:rPr>
          <w:rFonts w:cstheme="minorHAnsi"/>
          <w:lang w:val="en-US"/>
        </w:rPr>
        <w:t xml:space="preserve"> and thorough in their work, and take account of their obligations under the law and to the wider public interest.</w:t>
      </w:r>
    </w:p>
    <w:p w14:paraId="08CB6CEF" w14:textId="7005529B" w:rsidR="00202C0F" w:rsidRPr="003D622F" w:rsidRDefault="004A05C4" w:rsidP="0058758A">
      <w:pPr>
        <w:pStyle w:val="ListParagraph"/>
        <w:numPr>
          <w:ilvl w:val="0"/>
          <w:numId w:val="9"/>
        </w:numPr>
        <w:rPr>
          <w:rFonts w:cstheme="minorHAnsi"/>
          <w:lang w:val="en-US"/>
        </w:rPr>
      </w:pPr>
      <w:r w:rsidRPr="003D622F">
        <w:rPr>
          <w:rFonts w:cstheme="minorHAnsi"/>
          <w:b/>
          <w:bCs/>
          <w:lang w:val="en-US"/>
        </w:rPr>
        <w:t>Statements</w:t>
      </w:r>
      <w:r w:rsidRPr="003D622F">
        <w:rPr>
          <w:rFonts w:cstheme="minorHAnsi"/>
          <w:lang w:val="en-US"/>
        </w:rPr>
        <w:t xml:space="preserve">. In making statements to other professionals and the </w:t>
      </w:r>
      <w:r w:rsidR="006034F3" w:rsidRPr="003D622F">
        <w:rPr>
          <w:rFonts w:cstheme="minorHAnsi"/>
          <w:lang w:val="en-US"/>
        </w:rPr>
        <w:t>public</w:t>
      </w:r>
      <w:r w:rsidRPr="003D622F">
        <w:rPr>
          <w:rFonts w:cstheme="minorHAnsi"/>
          <w:lang w:val="en-US"/>
        </w:rPr>
        <w:t xml:space="preserve">, </w:t>
      </w:r>
      <w:r w:rsidR="006034F3" w:rsidRPr="003D622F">
        <w:rPr>
          <w:rFonts w:cstheme="minorHAnsi"/>
          <w:lang w:val="en-US"/>
        </w:rPr>
        <w:t xml:space="preserve">all those working on behalf of an ITTC </w:t>
      </w:r>
      <w:r w:rsidRPr="003D622F">
        <w:rPr>
          <w:rFonts w:cstheme="minorHAnsi"/>
          <w:lang w:val="en-US"/>
        </w:rPr>
        <w:t>should recognize the difference between fact and opinion, acknowledge where professional opinions differ, and state as fact only what has been empirically validated as such.</w:t>
      </w:r>
    </w:p>
    <w:p w14:paraId="438F0D57" w14:textId="65B3B6EA" w:rsidR="00202C0F" w:rsidRPr="003D622F" w:rsidRDefault="007222BC" w:rsidP="0058758A">
      <w:pPr>
        <w:pStyle w:val="ListParagraph"/>
        <w:numPr>
          <w:ilvl w:val="0"/>
          <w:numId w:val="9"/>
        </w:numPr>
        <w:rPr>
          <w:rFonts w:cstheme="minorHAnsi"/>
          <w:lang w:val="en-US"/>
        </w:rPr>
      </w:pPr>
      <w:r w:rsidRPr="003D622F">
        <w:rPr>
          <w:rFonts w:cstheme="minorHAnsi"/>
          <w:b/>
          <w:bCs/>
          <w:lang w:val="en-US"/>
        </w:rPr>
        <w:t>People</w:t>
      </w:r>
      <w:r w:rsidRPr="003D622F">
        <w:rPr>
          <w:rFonts w:cstheme="minorHAnsi"/>
          <w:lang w:val="en-US"/>
        </w:rPr>
        <w:t xml:space="preserve">. </w:t>
      </w:r>
      <w:r w:rsidR="000639B9" w:rsidRPr="003D622F">
        <w:rPr>
          <w:rFonts w:cstheme="minorHAnsi"/>
          <w:lang w:val="en-US"/>
        </w:rPr>
        <w:t>All those working on behalf of an ITTC must</w:t>
      </w:r>
      <w:r w:rsidRPr="003D622F">
        <w:rPr>
          <w:rFonts w:cstheme="minorHAnsi"/>
          <w:color w:val="000000"/>
          <w:lang w:val="en-US"/>
        </w:rPr>
        <w:t xml:space="preserve"> respect the personal dignity of</w:t>
      </w:r>
      <w:r w:rsidR="006034F3" w:rsidRPr="003D622F">
        <w:rPr>
          <w:rFonts w:cstheme="minorHAnsi"/>
          <w:color w:val="000000"/>
          <w:lang w:val="en-US"/>
        </w:rPr>
        <w:t xml:space="preserve"> </w:t>
      </w:r>
      <w:r w:rsidRPr="003D622F">
        <w:rPr>
          <w:rFonts w:cstheme="minorHAnsi"/>
          <w:color w:val="000000"/>
          <w:lang w:val="en-US"/>
        </w:rPr>
        <w:t>individual</w:t>
      </w:r>
      <w:r w:rsidR="006034F3" w:rsidRPr="003D622F">
        <w:rPr>
          <w:rFonts w:cstheme="minorHAnsi"/>
          <w:color w:val="000000"/>
          <w:lang w:val="en-US"/>
        </w:rPr>
        <w:t>s</w:t>
      </w:r>
      <w:r w:rsidR="000639B9" w:rsidRPr="003D622F">
        <w:rPr>
          <w:rFonts w:cstheme="minorHAnsi"/>
          <w:color w:val="000000"/>
          <w:lang w:val="en-US"/>
        </w:rPr>
        <w:t xml:space="preserve"> and</w:t>
      </w:r>
      <w:r w:rsidRPr="003D622F">
        <w:rPr>
          <w:rFonts w:cstheme="minorHAnsi"/>
          <w:color w:val="000000"/>
          <w:lang w:val="en-US"/>
        </w:rPr>
        <w:t xml:space="preserve"> honor diversity</w:t>
      </w:r>
      <w:r w:rsidR="000639B9" w:rsidRPr="003D622F">
        <w:rPr>
          <w:rFonts w:cstheme="minorHAnsi"/>
          <w:color w:val="000000"/>
          <w:lang w:val="en-US"/>
        </w:rPr>
        <w:t xml:space="preserve">. The ITTC Network does not tolerate any form of </w:t>
      </w:r>
      <w:r w:rsidRPr="003D622F">
        <w:rPr>
          <w:rFonts w:cstheme="minorHAnsi"/>
          <w:color w:val="000000"/>
          <w:lang w:val="en-US"/>
        </w:rPr>
        <w:t xml:space="preserve">violence, discrimination, harassment, or retribution </w:t>
      </w:r>
      <w:r w:rsidR="000639B9" w:rsidRPr="003D622F">
        <w:rPr>
          <w:rFonts w:cstheme="minorHAnsi"/>
          <w:color w:val="000000"/>
          <w:lang w:val="en-US"/>
        </w:rPr>
        <w:t>within</w:t>
      </w:r>
      <w:r w:rsidRPr="003D622F">
        <w:rPr>
          <w:rFonts w:cstheme="minorHAnsi"/>
          <w:color w:val="000000"/>
          <w:lang w:val="en-US"/>
        </w:rPr>
        <w:t xml:space="preserve"> our Network. We are committed to creating, managing, leveraging, and valuing diversity. We work hard to create a positive work environment where </w:t>
      </w:r>
      <w:r w:rsidR="000639B9" w:rsidRPr="003D622F">
        <w:rPr>
          <w:rFonts w:cstheme="minorHAnsi"/>
          <w:color w:val="000000"/>
          <w:lang w:val="en-US"/>
        </w:rPr>
        <w:t>everyone</w:t>
      </w:r>
      <w:r w:rsidRPr="003D622F">
        <w:rPr>
          <w:rFonts w:cstheme="minorHAnsi"/>
          <w:color w:val="000000"/>
          <w:lang w:val="en-US"/>
        </w:rPr>
        <w:t xml:space="preserve"> is appreciated, proud, satisfied, and adds value to the Network. </w:t>
      </w:r>
    </w:p>
    <w:p w14:paraId="411A1534" w14:textId="6A715AF4" w:rsidR="00880E14" w:rsidRPr="003D622F" w:rsidRDefault="00880E14" w:rsidP="00880E14">
      <w:pPr>
        <w:pStyle w:val="ListParagraph"/>
        <w:numPr>
          <w:ilvl w:val="0"/>
          <w:numId w:val="9"/>
        </w:numPr>
        <w:rPr>
          <w:rFonts w:cstheme="minorHAnsi"/>
          <w:lang w:val="en-US"/>
        </w:rPr>
      </w:pPr>
      <w:r w:rsidRPr="00706DC9">
        <w:rPr>
          <w:rFonts w:cstheme="minorHAnsi"/>
          <w:b/>
          <w:bCs/>
          <w:lang w:val="en-US"/>
        </w:rPr>
        <w:t>Honor colleagues’ work.</w:t>
      </w:r>
      <w:r>
        <w:rPr>
          <w:rFonts w:cstheme="minorHAnsi"/>
          <w:lang w:val="en-US"/>
        </w:rPr>
        <w:t xml:space="preserve"> In alignment with point </w:t>
      </w:r>
      <w:r w:rsidR="00706DC9">
        <w:rPr>
          <w:rFonts w:cstheme="minorHAnsi"/>
          <w:lang w:val="en-US"/>
        </w:rPr>
        <w:t>six</w:t>
      </w:r>
      <w:r>
        <w:rPr>
          <w:rFonts w:cstheme="minorHAnsi"/>
          <w:lang w:val="en-US"/>
        </w:rPr>
        <w:t xml:space="preserve"> above, all those working on behalf of an ITTC will respect the work of their fellow ITTC colleagues. ITTCs will not take credit for another ITTC</w:t>
      </w:r>
      <w:r w:rsidR="00706DC9">
        <w:rPr>
          <w:rFonts w:cstheme="minorHAnsi"/>
          <w:lang w:val="en-US"/>
        </w:rPr>
        <w:t>’</w:t>
      </w:r>
      <w:r>
        <w:rPr>
          <w:rFonts w:cstheme="minorHAnsi"/>
          <w:lang w:val="en-US"/>
        </w:rPr>
        <w:t>s work nor will they use their work without permission or proper citation.</w:t>
      </w:r>
    </w:p>
    <w:p w14:paraId="42A76492" w14:textId="64864EB9" w:rsidR="00202C0F" w:rsidRPr="003D622F" w:rsidRDefault="00A82731" w:rsidP="0058758A">
      <w:pPr>
        <w:pStyle w:val="ListParagraph"/>
        <w:numPr>
          <w:ilvl w:val="0"/>
          <w:numId w:val="9"/>
        </w:numPr>
        <w:rPr>
          <w:rFonts w:cstheme="minorHAnsi"/>
          <w:lang w:val="en-US"/>
        </w:rPr>
      </w:pPr>
      <w:r w:rsidRPr="003D622F">
        <w:rPr>
          <w:rFonts w:cstheme="minorHAnsi"/>
          <w:b/>
          <w:bCs/>
          <w:lang w:val="en-US"/>
        </w:rPr>
        <w:t>Professional development</w:t>
      </w:r>
      <w:r w:rsidRPr="003D622F">
        <w:rPr>
          <w:rFonts w:cstheme="minorHAnsi"/>
          <w:lang w:val="en-US"/>
        </w:rPr>
        <w:t xml:space="preserve">. </w:t>
      </w:r>
      <w:r w:rsidR="006034F3" w:rsidRPr="003D622F">
        <w:rPr>
          <w:rFonts w:cstheme="minorHAnsi"/>
          <w:lang w:val="en-US"/>
        </w:rPr>
        <w:t xml:space="preserve">All those working on behalf of an ITTC </w:t>
      </w:r>
      <w:r w:rsidRPr="003D622F">
        <w:rPr>
          <w:rFonts w:cstheme="minorHAnsi"/>
          <w:lang w:val="en-US"/>
        </w:rPr>
        <w:t>must continually improve knowledge and skills and advance the</w:t>
      </w:r>
      <w:r w:rsidR="006034F3" w:rsidRPr="003D622F">
        <w:rPr>
          <w:rFonts w:cstheme="minorHAnsi"/>
          <w:lang w:val="en-US"/>
        </w:rPr>
        <w:t>ir</w:t>
      </w:r>
      <w:r w:rsidRPr="003D622F">
        <w:rPr>
          <w:rFonts w:cstheme="minorHAnsi"/>
          <w:lang w:val="en-US"/>
        </w:rPr>
        <w:t xml:space="preserve"> profession</w:t>
      </w:r>
      <w:r w:rsidR="006034F3" w:rsidRPr="003D622F">
        <w:rPr>
          <w:rFonts w:cstheme="minorHAnsi"/>
          <w:lang w:val="en-US"/>
        </w:rPr>
        <w:t>al practice</w:t>
      </w:r>
      <w:r w:rsidRPr="003D622F">
        <w:rPr>
          <w:rFonts w:cstheme="minorHAnsi"/>
          <w:lang w:val="en-US"/>
        </w:rPr>
        <w:t xml:space="preserve"> through activities such as professional training, education, and interaction with colleagues and specialists in substance use prevention, </w:t>
      </w:r>
      <w:r w:rsidR="006034F3" w:rsidRPr="003D622F">
        <w:rPr>
          <w:rFonts w:cstheme="minorHAnsi"/>
          <w:lang w:val="en-US"/>
        </w:rPr>
        <w:t xml:space="preserve">harm reduction, </w:t>
      </w:r>
      <w:r w:rsidRPr="003D622F">
        <w:rPr>
          <w:rFonts w:cstheme="minorHAnsi"/>
          <w:lang w:val="en-US"/>
        </w:rPr>
        <w:t>treatment, and recovery.</w:t>
      </w:r>
    </w:p>
    <w:p w14:paraId="7A6AFA98" w14:textId="3AAC8026" w:rsidR="00202C0F" w:rsidRPr="003D622F" w:rsidRDefault="00202C0F" w:rsidP="0058758A">
      <w:pPr>
        <w:pStyle w:val="ListParagraph"/>
        <w:numPr>
          <w:ilvl w:val="0"/>
          <w:numId w:val="9"/>
        </w:numPr>
        <w:rPr>
          <w:rFonts w:cstheme="minorHAnsi"/>
          <w:lang w:val="en-US"/>
        </w:rPr>
      </w:pPr>
      <w:r w:rsidRPr="003D622F">
        <w:rPr>
          <w:rFonts w:cstheme="minorHAnsi"/>
          <w:b/>
          <w:bCs/>
          <w:lang w:val="en-US"/>
        </w:rPr>
        <w:t>Network responsibility</w:t>
      </w:r>
      <w:r w:rsidRPr="003D622F">
        <w:rPr>
          <w:rFonts w:eastAsia="Times New Roman" w:cstheme="minorHAnsi"/>
          <w:lang w:val="en-US"/>
        </w:rPr>
        <w:t xml:space="preserve">. </w:t>
      </w:r>
      <w:r w:rsidR="006034F3" w:rsidRPr="003D622F">
        <w:rPr>
          <w:rFonts w:cstheme="minorHAnsi"/>
          <w:lang w:val="en-US"/>
        </w:rPr>
        <w:t>All those working on behalf of an ITTC are responsible for the integrity and credibility of the Network overall. They should a</w:t>
      </w:r>
      <w:r w:rsidR="007222BC" w:rsidRPr="003D622F">
        <w:rPr>
          <w:rFonts w:eastAsia="Times New Roman" w:cstheme="minorHAnsi"/>
          <w:lang w:val="en-US"/>
        </w:rPr>
        <w:t xml:space="preserve">ct </w:t>
      </w:r>
      <w:r w:rsidR="006034F3" w:rsidRPr="003D622F">
        <w:rPr>
          <w:rFonts w:eastAsia="Times New Roman" w:cstheme="minorHAnsi"/>
          <w:lang w:val="en-US"/>
        </w:rPr>
        <w:t xml:space="preserve">responsibly </w:t>
      </w:r>
      <w:r w:rsidR="007222BC" w:rsidRPr="003D622F">
        <w:rPr>
          <w:rFonts w:eastAsia="Times New Roman" w:cstheme="minorHAnsi"/>
          <w:lang w:val="en-US"/>
        </w:rPr>
        <w:t>in good faith</w:t>
      </w:r>
      <w:r w:rsidR="006034F3" w:rsidRPr="003D622F">
        <w:rPr>
          <w:rFonts w:eastAsia="Times New Roman" w:cstheme="minorHAnsi"/>
          <w:lang w:val="en-US"/>
        </w:rPr>
        <w:t xml:space="preserve"> and use due </w:t>
      </w:r>
      <w:r w:rsidR="006034F3" w:rsidRPr="003D622F">
        <w:rPr>
          <w:rFonts w:eastAsia="Times New Roman" w:cstheme="minorHAnsi"/>
          <w:lang w:val="en-US"/>
        </w:rPr>
        <w:lastRenderedPageBreak/>
        <w:t xml:space="preserve">care in their work. They should not </w:t>
      </w:r>
      <w:r w:rsidR="007222BC" w:rsidRPr="003D622F">
        <w:rPr>
          <w:rFonts w:eastAsia="Times New Roman" w:cstheme="minorHAnsi"/>
          <w:lang w:val="en-US"/>
        </w:rPr>
        <w:t>misrepresent material facts or allow</w:t>
      </w:r>
      <w:r w:rsidR="006034F3" w:rsidRPr="003D622F">
        <w:rPr>
          <w:rFonts w:eastAsia="Times New Roman" w:cstheme="minorHAnsi"/>
          <w:lang w:val="en-US"/>
        </w:rPr>
        <w:t xml:space="preserve"> </w:t>
      </w:r>
      <w:r w:rsidR="007222BC" w:rsidRPr="003D622F">
        <w:rPr>
          <w:rFonts w:eastAsia="Times New Roman" w:cstheme="minorHAnsi"/>
          <w:lang w:val="en-US"/>
        </w:rPr>
        <w:t>their independent judgment to be subordinated.</w:t>
      </w:r>
    </w:p>
    <w:p w14:paraId="6B6A2F3E" w14:textId="459BF56F" w:rsidR="00202C0F" w:rsidRDefault="004A05C4" w:rsidP="0058758A">
      <w:pPr>
        <w:pStyle w:val="ListParagraph"/>
        <w:numPr>
          <w:ilvl w:val="0"/>
          <w:numId w:val="9"/>
        </w:numPr>
        <w:rPr>
          <w:rFonts w:cstheme="minorHAnsi"/>
          <w:lang w:val="en-US"/>
        </w:rPr>
      </w:pPr>
      <w:r w:rsidRPr="003D622F">
        <w:rPr>
          <w:rFonts w:cstheme="minorHAnsi"/>
          <w:b/>
          <w:bCs/>
          <w:lang w:val="en-US"/>
        </w:rPr>
        <w:t>Professional standards</w:t>
      </w:r>
      <w:r w:rsidRPr="003D622F">
        <w:rPr>
          <w:rFonts w:cstheme="minorHAnsi"/>
          <w:lang w:val="en-US"/>
        </w:rPr>
        <w:t xml:space="preserve">. </w:t>
      </w:r>
      <w:r w:rsidR="006034F3" w:rsidRPr="003D622F">
        <w:rPr>
          <w:rFonts w:cstheme="minorHAnsi"/>
          <w:lang w:val="en-US"/>
        </w:rPr>
        <w:t>All those working on behalf of an ITTC must disclose</w:t>
      </w:r>
      <w:r w:rsidRPr="003D622F">
        <w:rPr>
          <w:rFonts w:cstheme="minorHAnsi"/>
          <w:lang w:val="en-US"/>
        </w:rPr>
        <w:t xml:space="preserve"> any past disciplinary action taken against them by an employer or professional body in relation to unprofessional or unethical conduct.</w:t>
      </w:r>
      <w:r w:rsidR="00620FAA" w:rsidRPr="003D622F">
        <w:rPr>
          <w:rFonts w:cstheme="minorHAnsi"/>
          <w:lang w:val="en-US"/>
        </w:rPr>
        <w:t xml:space="preserve"> Where </w:t>
      </w:r>
      <w:r w:rsidR="006034F3" w:rsidRPr="003D622F">
        <w:rPr>
          <w:rFonts w:cstheme="minorHAnsi"/>
          <w:lang w:val="en-US"/>
        </w:rPr>
        <w:t xml:space="preserve">someone working for an ITTC </w:t>
      </w:r>
      <w:r w:rsidR="00620FAA" w:rsidRPr="003D622F">
        <w:rPr>
          <w:rFonts w:cstheme="minorHAnsi"/>
          <w:lang w:val="en-US"/>
        </w:rPr>
        <w:t xml:space="preserve">has serious doubts about how to handle a particular situation, including in relation to this code of </w:t>
      </w:r>
      <w:r w:rsidR="006034F3" w:rsidRPr="003D622F">
        <w:rPr>
          <w:rFonts w:cstheme="minorHAnsi"/>
          <w:lang w:val="en-US"/>
        </w:rPr>
        <w:t>ethics</w:t>
      </w:r>
      <w:r w:rsidR="00620FAA" w:rsidRPr="003D622F">
        <w:rPr>
          <w:rFonts w:cstheme="minorHAnsi"/>
          <w:lang w:val="en-US"/>
        </w:rPr>
        <w:t xml:space="preserve">, they should discuss this with their supervisor </w:t>
      </w:r>
      <w:r w:rsidR="006034F3" w:rsidRPr="003D622F">
        <w:rPr>
          <w:rFonts w:cstheme="minorHAnsi"/>
          <w:lang w:val="en-US"/>
        </w:rPr>
        <w:t>and/or leadership of ICUDDR</w:t>
      </w:r>
      <w:r w:rsidR="00620FAA" w:rsidRPr="003D622F">
        <w:rPr>
          <w:rFonts w:cstheme="minorHAnsi"/>
          <w:lang w:val="en-US"/>
        </w:rPr>
        <w:t xml:space="preserve"> at the earliest opportunity. </w:t>
      </w:r>
    </w:p>
    <w:p w14:paraId="4FD86CAB" w14:textId="38142D4F" w:rsidR="00DC29A4" w:rsidRDefault="00FF6CF5" w:rsidP="0058758A">
      <w:pPr>
        <w:pStyle w:val="ListParagraph"/>
        <w:numPr>
          <w:ilvl w:val="0"/>
          <w:numId w:val="9"/>
        </w:numPr>
        <w:rPr>
          <w:rFonts w:cstheme="minorHAnsi"/>
          <w:lang w:val="en-US"/>
        </w:rPr>
      </w:pPr>
      <w:r>
        <w:rPr>
          <w:rFonts w:cstheme="minorHAnsi"/>
          <w:b/>
          <w:bCs/>
          <w:lang w:val="en-US"/>
        </w:rPr>
        <w:t>Research</w:t>
      </w:r>
      <w:r w:rsidRPr="00706DC9">
        <w:rPr>
          <w:rFonts w:cstheme="minorHAnsi"/>
          <w:lang w:val="en-US"/>
        </w:rPr>
        <w:t>.</w:t>
      </w:r>
      <w:r>
        <w:rPr>
          <w:rFonts w:cstheme="minorHAnsi"/>
          <w:b/>
          <w:bCs/>
          <w:lang w:val="en-US"/>
        </w:rPr>
        <w:t xml:space="preserve"> </w:t>
      </w:r>
      <w:r w:rsidRPr="00FF6CF5">
        <w:rPr>
          <w:rFonts w:cstheme="minorHAnsi"/>
          <w:lang w:val="en-US"/>
        </w:rPr>
        <w:t xml:space="preserve">When </w:t>
      </w:r>
      <w:r>
        <w:rPr>
          <w:rFonts w:cstheme="minorHAnsi"/>
          <w:lang w:val="en-US"/>
        </w:rPr>
        <w:t xml:space="preserve">conducting research, ITTCs must protect the rights of research participants, </w:t>
      </w:r>
      <w:r w:rsidR="00880E14">
        <w:rPr>
          <w:rFonts w:cstheme="minorHAnsi"/>
          <w:lang w:val="en-US"/>
        </w:rPr>
        <w:t xml:space="preserve">take necessary actions to </w:t>
      </w:r>
      <w:r>
        <w:rPr>
          <w:rFonts w:cstheme="minorHAnsi"/>
          <w:lang w:val="en-US"/>
        </w:rPr>
        <w:t xml:space="preserve">enhance research validity, and maintain scientific or academic integrity. </w:t>
      </w:r>
    </w:p>
    <w:p w14:paraId="592274A9" w14:textId="56BED9C2" w:rsidR="00202C0F" w:rsidRPr="003D622F" w:rsidRDefault="004A05C4" w:rsidP="0058758A">
      <w:pPr>
        <w:pStyle w:val="ListParagraph"/>
        <w:numPr>
          <w:ilvl w:val="0"/>
          <w:numId w:val="9"/>
        </w:numPr>
        <w:rPr>
          <w:rFonts w:cstheme="minorHAnsi"/>
          <w:lang w:val="en-US"/>
        </w:rPr>
      </w:pPr>
      <w:r w:rsidRPr="003D622F">
        <w:rPr>
          <w:rFonts w:cstheme="minorHAnsi"/>
          <w:b/>
          <w:bCs/>
          <w:lang w:val="en-US"/>
        </w:rPr>
        <w:t>Conflicts of Interest</w:t>
      </w:r>
      <w:r w:rsidRPr="003D622F">
        <w:rPr>
          <w:rFonts w:cstheme="minorHAnsi"/>
          <w:lang w:val="en-US"/>
        </w:rPr>
        <w:t xml:space="preserve">. </w:t>
      </w:r>
      <w:r w:rsidRPr="003D622F">
        <w:rPr>
          <w:rFonts w:cstheme="minorHAnsi"/>
          <w:color w:val="000000"/>
          <w:lang w:val="en-US"/>
        </w:rPr>
        <w:t xml:space="preserve">It is expected that business decisions are made in the best interest of the </w:t>
      </w:r>
      <w:r w:rsidR="006034F3" w:rsidRPr="003D622F">
        <w:rPr>
          <w:rFonts w:cstheme="minorHAnsi"/>
          <w:color w:val="000000"/>
          <w:lang w:val="en-US"/>
        </w:rPr>
        <w:t xml:space="preserve">ITTC </w:t>
      </w:r>
      <w:r w:rsidRPr="003D622F">
        <w:rPr>
          <w:rFonts w:cstheme="minorHAnsi"/>
          <w:color w:val="000000"/>
          <w:lang w:val="en-US"/>
        </w:rPr>
        <w:t xml:space="preserve">Network. Actions must be based on sound business judgment, and not motivated by personal interest or gain. Any situation that creates or appears to create a conflict of interest between personal interests and the interests of the ITTC Network must be avoided. Potential conflict of interest situations must be reported to the </w:t>
      </w:r>
      <w:r w:rsidR="000639B9" w:rsidRPr="003D622F">
        <w:rPr>
          <w:rFonts w:cstheme="minorHAnsi"/>
          <w:color w:val="000000"/>
          <w:lang w:val="en-US"/>
        </w:rPr>
        <w:t>leadership of ICUDDR</w:t>
      </w:r>
      <w:r w:rsidRPr="003D622F">
        <w:rPr>
          <w:rFonts w:cstheme="minorHAnsi"/>
          <w:color w:val="000000"/>
          <w:lang w:val="en-US"/>
        </w:rPr>
        <w:t>.</w:t>
      </w:r>
    </w:p>
    <w:p w14:paraId="0388A9A3" w14:textId="209509EC" w:rsidR="00B76178" w:rsidRPr="003D622F" w:rsidRDefault="00202C0F" w:rsidP="0058758A">
      <w:pPr>
        <w:pStyle w:val="ListParagraph"/>
        <w:numPr>
          <w:ilvl w:val="0"/>
          <w:numId w:val="9"/>
        </w:numPr>
        <w:rPr>
          <w:rFonts w:cstheme="minorHAnsi"/>
          <w:lang w:val="en-US"/>
        </w:rPr>
      </w:pPr>
      <w:r w:rsidRPr="003D622F">
        <w:rPr>
          <w:rFonts w:cstheme="minorHAnsi"/>
          <w:b/>
          <w:bCs/>
          <w:lang w:val="en-US"/>
        </w:rPr>
        <w:t>Financial support</w:t>
      </w:r>
      <w:r w:rsidRPr="003D622F">
        <w:rPr>
          <w:rFonts w:cstheme="minorHAnsi"/>
          <w:lang w:val="en-US"/>
        </w:rPr>
        <w:t>.</w:t>
      </w:r>
      <w:r w:rsidR="007222BC" w:rsidRPr="003D622F">
        <w:rPr>
          <w:rFonts w:cstheme="minorHAnsi"/>
          <w:lang w:val="en-US"/>
        </w:rPr>
        <w:t xml:space="preserve"> ITTC</w:t>
      </w:r>
      <w:r w:rsidRPr="003D622F">
        <w:rPr>
          <w:rFonts w:cstheme="minorHAnsi"/>
          <w:lang w:val="en-US"/>
        </w:rPr>
        <w:t>s</w:t>
      </w:r>
      <w:r w:rsidR="007222BC" w:rsidRPr="003D622F">
        <w:rPr>
          <w:rFonts w:cstheme="minorHAnsi"/>
          <w:lang w:val="en-US"/>
        </w:rPr>
        <w:t xml:space="preserve"> will not </w:t>
      </w:r>
      <w:r w:rsidRPr="003D622F">
        <w:rPr>
          <w:rFonts w:cstheme="minorHAnsi"/>
          <w:lang w:val="en-US"/>
        </w:rPr>
        <w:t>accept</w:t>
      </w:r>
      <w:r w:rsidR="007222BC" w:rsidRPr="003D622F">
        <w:rPr>
          <w:rFonts w:cstheme="minorHAnsi"/>
          <w:lang w:val="en-US"/>
        </w:rPr>
        <w:t xml:space="preserve"> funding</w:t>
      </w:r>
      <w:r w:rsidRPr="003D622F">
        <w:rPr>
          <w:rFonts w:cstheme="minorHAnsi"/>
          <w:lang w:val="en-US"/>
        </w:rPr>
        <w:t xml:space="preserve"> or other forms of support that stem</w:t>
      </w:r>
      <w:r w:rsidR="007222BC" w:rsidRPr="003D622F">
        <w:rPr>
          <w:rFonts w:cstheme="minorHAnsi"/>
          <w:lang w:val="en-US"/>
        </w:rPr>
        <w:t xml:space="preserve"> from illegal or unethical sources </w:t>
      </w:r>
      <w:r w:rsidRPr="003D622F">
        <w:rPr>
          <w:rFonts w:cstheme="minorHAnsi"/>
          <w:lang w:val="en-US"/>
        </w:rPr>
        <w:t>that are in</w:t>
      </w:r>
      <w:r w:rsidR="000639B9" w:rsidRPr="003D622F">
        <w:rPr>
          <w:rFonts w:cstheme="minorHAnsi"/>
          <w:lang w:val="en-US"/>
        </w:rPr>
        <w:t xml:space="preserve"> </w:t>
      </w:r>
      <w:r w:rsidRPr="003D622F">
        <w:rPr>
          <w:rFonts w:cstheme="minorHAnsi"/>
          <w:lang w:val="en-US"/>
        </w:rPr>
        <w:t xml:space="preserve">direct opposition to the work of substance use prevention, </w:t>
      </w:r>
      <w:r w:rsidR="000639B9" w:rsidRPr="003D622F">
        <w:rPr>
          <w:rFonts w:cstheme="minorHAnsi"/>
          <w:lang w:val="en-US"/>
        </w:rPr>
        <w:t xml:space="preserve">harm reduction, </w:t>
      </w:r>
      <w:r w:rsidRPr="003D622F">
        <w:rPr>
          <w:rFonts w:cstheme="minorHAnsi"/>
          <w:lang w:val="en-US"/>
        </w:rPr>
        <w:t>treatment, and recovery</w:t>
      </w:r>
      <w:r w:rsidR="000639B9" w:rsidRPr="003D622F">
        <w:rPr>
          <w:rFonts w:cstheme="minorHAnsi"/>
          <w:lang w:val="en-US"/>
        </w:rPr>
        <w:t xml:space="preserve"> support services</w:t>
      </w:r>
      <w:r w:rsidRPr="003D622F">
        <w:rPr>
          <w:rFonts w:cstheme="minorHAnsi"/>
          <w:lang w:val="en-US"/>
        </w:rPr>
        <w:t>.</w:t>
      </w:r>
      <w:r w:rsidR="00E019EE">
        <w:rPr>
          <w:rFonts w:cstheme="minorHAnsi"/>
          <w:lang w:val="en-US"/>
        </w:rPr>
        <w:t xml:space="preserve"> For example, </w:t>
      </w:r>
      <w:r w:rsidR="00880E14">
        <w:rPr>
          <w:rFonts w:cstheme="minorHAnsi"/>
          <w:lang w:val="en-US"/>
        </w:rPr>
        <w:t xml:space="preserve">ITTCS will not </w:t>
      </w:r>
      <w:r w:rsidR="00E019EE">
        <w:rPr>
          <w:rFonts w:cstheme="minorHAnsi"/>
          <w:lang w:val="en-US"/>
        </w:rPr>
        <w:t xml:space="preserve">accept resources from a person or entity who distributes or sells </w:t>
      </w:r>
      <w:r w:rsidR="00DC29A4">
        <w:rPr>
          <w:rFonts w:cstheme="minorHAnsi"/>
          <w:lang w:val="en-US"/>
        </w:rPr>
        <w:t xml:space="preserve">illicit </w:t>
      </w:r>
      <w:r w:rsidR="00E019EE">
        <w:rPr>
          <w:rFonts w:cstheme="minorHAnsi"/>
          <w:lang w:val="en-US"/>
        </w:rPr>
        <w:t>drugs.</w:t>
      </w:r>
    </w:p>
    <w:p w14:paraId="7544E49E" w14:textId="77777777" w:rsidR="00D33C2A" w:rsidRPr="003D622F" w:rsidRDefault="00D33C2A" w:rsidP="00D33C2A">
      <w:pPr>
        <w:rPr>
          <w:rFonts w:cstheme="minorHAnsi"/>
          <w:lang w:val="en-US"/>
        </w:rPr>
      </w:pPr>
    </w:p>
    <w:p w14:paraId="3BE20650" w14:textId="7FABC5CD" w:rsidR="00D33C2A" w:rsidRDefault="00D33C2A" w:rsidP="00D33C2A">
      <w:pPr>
        <w:rPr>
          <w:lang w:val="en-US"/>
        </w:rPr>
      </w:pPr>
      <w:r>
        <w:rPr>
          <w:lang w:val="en-US"/>
        </w:rPr>
        <w:t xml:space="preserve">This code of ethics was first approved by the ITTC Directors on _________. </w:t>
      </w:r>
    </w:p>
    <w:p w14:paraId="0261EFAF" w14:textId="6D3C673C" w:rsidR="00D33C2A" w:rsidRPr="00D33C2A" w:rsidRDefault="00D33C2A" w:rsidP="00D33C2A">
      <w:pPr>
        <w:rPr>
          <w:lang w:val="en-US"/>
        </w:rPr>
      </w:pPr>
      <w:r>
        <w:rPr>
          <w:lang w:val="en-US"/>
        </w:rPr>
        <w:t>The ITTC Directors last reviewed this code of ethics on ________.</w:t>
      </w:r>
    </w:p>
    <w:sectPr w:rsidR="00D33C2A" w:rsidRPr="00D33C2A" w:rsidSect="006534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F9492" w14:textId="77777777" w:rsidR="00655A2D" w:rsidRDefault="00655A2D" w:rsidP="00D33C2A">
      <w:pPr>
        <w:spacing w:after="0" w:line="240" w:lineRule="auto"/>
      </w:pPr>
      <w:r>
        <w:separator/>
      </w:r>
    </w:p>
  </w:endnote>
  <w:endnote w:type="continuationSeparator" w:id="0">
    <w:p w14:paraId="42D8CF19" w14:textId="77777777" w:rsidR="00655A2D" w:rsidRDefault="00655A2D" w:rsidP="00D33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04A8" w14:textId="77777777" w:rsidR="00653455" w:rsidRDefault="006534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545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FB4EA2" w14:textId="2A875821" w:rsidR="00653455" w:rsidRDefault="006534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FD1A8D" w14:textId="77777777" w:rsidR="00653455" w:rsidRDefault="006534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4F22C" w14:textId="77777777" w:rsidR="00653455" w:rsidRDefault="00653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1800E" w14:textId="77777777" w:rsidR="00655A2D" w:rsidRDefault="00655A2D" w:rsidP="00D33C2A">
      <w:pPr>
        <w:spacing w:after="0" w:line="240" w:lineRule="auto"/>
      </w:pPr>
      <w:r>
        <w:separator/>
      </w:r>
    </w:p>
  </w:footnote>
  <w:footnote w:type="continuationSeparator" w:id="0">
    <w:p w14:paraId="6DC132C7" w14:textId="77777777" w:rsidR="00655A2D" w:rsidRDefault="00655A2D" w:rsidP="00D33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EBCB2" w14:textId="77777777" w:rsidR="00653455" w:rsidRDefault="006534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8C7B3" w14:textId="5C3D9C10" w:rsidR="00653455" w:rsidRDefault="00653455">
    <w:pPr>
      <w:pStyle w:val="Header"/>
    </w:pPr>
  </w:p>
  <w:sdt>
    <w:sdtPr>
      <w:id w:val="-1365042815"/>
      <w:docPartObj>
        <w:docPartGallery w:val="Watermarks"/>
        <w:docPartUnique/>
      </w:docPartObj>
    </w:sdtPr>
    <w:sdtContent>
      <w:p w14:paraId="73153AD6" w14:textId="5B12B246" w:rsidR="00D33C2A" w:rsidRDefault="00000000">
        <w:pPr>
          <w:pStyle w:val="Header"/>
        </w:pPr>
        <w:r>
          <w:rPr>
            <w:noProof/>
          </w:rPr>
          <w:pict w14:anchorId="28B3811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5639" w14:textId="64F4DC86" w:rsidR="00653455" w:rsidRDefault="00653455">
    <w:pPr>
      <w:pStyle w:val="Header"/>
    </w:pPr>
    <w:r w:rsidRPr="00585618">
      <w:rPr>
        <w:noProof/>
      </w:rPr>
      <w:drawing>
        <wp:anchor distT="0" distB="0" distL="114300" distR="114300" simplePos="0" relativeHeight="251657216" behindDoc="0" locked="0" layoutInCell="1" allowOverlap="1" wp14:anchorId="20BCF6C5" wp14:editId="02DD8D33">
          <wp:simplePos x="0" y="0"/>
          <wp:positionH relativeFrom="margin">
            <wp:posOffset>98425</wp:posOffset>
          </wp:positionH>
          <wp:positionV relativeFrom="paragraph">
            <wp:posOffset>-352219</wp:posOffset>
          </wp:positionV>
          <wp:extent cx="5415148" cy="790850"/>
          <wp:effectExtent l="0" t="0" r="0" b="9525"/>
          <wp:wrapNone/>
          <wp:docPr id="13" name="Picture 12" descr="Graphical user interface,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9817288C-49F3-4EEA-AEDF-90D652519D1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Graphical user interface, text&#10;&#10;Description automatically generated">
                    <a:extLst>
                      <a:ext uri="{FF2B5EF4-FFF2-40B4-BE49-F238E27FC236}">
                        <a16:creationId xmlns:a16="http://schemas.microsoft.com/office/drawing/2014/main" id="{9817288C-49F3-4EEA-AEDF-90D652519D1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5148" cy="79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7365"/>
    <w:multiLevelType w:val="multilevel"/>
    <w:tmpl w:val="62C47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6F3A85"/>
    <w:multiLevelType w:val="hybridMultilevel"/>
    <w:tmpl w:val="DCF8CBD6"/>
    <w:lvl w:ilvl="0" w:tplc="57AA80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650E29"/>
    <w:multiLevelType w:val="multilevel"/>
    <w:tmpl w:val="FED01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5D70A3"/>
    <w:multiLevelType w:val="multilevel"/>
    <w:tmpl w:val="F6BC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B53236"/>
    <w:multiLevelType w:val="multilevel"/>
    <w:tmpl w:val="D9866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1E638B"/>
    <w:multiLevelType w:val="multilevel"/>
    <w:tmpl w:val="32EA8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231F25"/>
    <w:multiLevelType w:val="multilevel"/>
    <w:tmpl w:val="E69EE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FA0869"/>
    <w:multiLevelType w:val="multilevel"/>
    <w:tmpl w:val="A8DC7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B56D29"/>
    <w:multiLevelType w:val="multilevel"/>
    <w:tmpl w:val="0936B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1582242">
    <w:abstractNumId w:val="3"/>
  </w:num>
  <w:num w:numId="2" w16cid:durableId="1889340919">
    <w:abstractNumId w:val="5"/>
  </w:num>
  <w:num w:numId="3" w16cid:durableId="1891768884">
    <w:abstractNumId w:val="7"/>
  </w:num>
  <w:num w:numId="4" w16cid:durableId="2034501597">
    <w:abstractNumId w:val="8"/>
  </w:num>
  <w:num w:numId="5" w16cid:durableId="1434472164">
    <w:abstractNumId w:val="4"/>
  </w:num>
  <w:num w:numId="6" w16cid:durableId="1081946018">
    <w:abstractNumId w:val="2"/>
  </w:num>
  <w:num w:numId="7" w16cid:durableId="587465342">
    <w:abstractNumId w:val="6"/>
  </w:num>
  <w:num w:numId="8" w16cid:durableId="1372727363">
    <w:abstractNumId w:val="0"/>
  </w:num>
  <w:num w:numId="9" w16cid:durableId="899292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FF"/>
    <w:rsid w:val="000639B9"/>
    <w:rsid w:val="00063DFF"/>
    <w:rsid w:val="000B0FA5"/>
    <w:rsid w:val="000B5B09"/>
    <w:rsid w:val="000D55FF"/>
    <w:rsid w:val="001175FF"/>
    <w:rsid w:val="00150513"/>
    <w:rsid w:val="00202C0F"/>
    <w:rsid w:val="002115E3"/>
    <w:rsid w:val="003C3A7B"/>
    <w:rsid w:val="003D622F"/>
    <w:rsid w:val="004A05C4"/>
    <w:rsid w:val="004D6A9F"/>
    <w:rsid w:val="0058758A"/>
    <w:rsid w:val="005B2AE9"/>
    <w:rsid w:val="006034F3"/>
    <w:rsid w:val="00620FAA"/>
    <w:rsid w:val="006341FC"/>
    <w:rsid w:val="00653455"/>
    <w:rsid w:val="00655A2D"/>
    <w:rsid w:val="00706DC9"/>
    <w:rsid w:val="007222BC"/>
    <w:rsid w:val="00794CF6"/>
    <w:rsid w:val="00867061"/>
    <w:rsid w:val="00880E14"/>
    <w:rsid w:val="008C3079"/>
    <w:rsid w:val="008E768E"/>
    <w:rsid w:val="009D7170"/>
    <w:rsid w:val="00A2488E"/>
    <w:rsid w:val="00A82731"/>
    <w:rsid w:val="00A93C79"/>
    <w:rsid w:val="00AD5AD0"/>
    <w:rsid w:val="00B54296"/>
    <w:rsid w:val="00B76178"/>
    <w:rsid w:val="00C9779E"/>
    <w:rsid w:val="00D00BB0"/>
    <w:rsid w:val="00D1565E"/>
    <w:rsid w:val="00D33C2A"/>
    <w:rsid w:val="00DB0FF8"/>
    <w:rsid w:val="00DC29A4"/>
    <w:rsid w:val="00E019EE"/>
    <w:rsid w:val="00E12B97"/>
    <w:rsid w:val="00E12EAB"/>
    <w:rsid w:val="00F25700"/>
    <w:rsid w:val="00FC44D9"/>
    <w:rsid w:val="00FF2185"/>
    <w:rsid w:val="00FF5958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075D4"/>
  <w15:docId w15:val="{5B561811-5407-4194-B82B-FA0B5108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17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D6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6A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6A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A9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2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02C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2A"/>
  </w:style>
  <w:style w:type="paragraph" w:styleId="Footer">
    <w:name w:val="footer"/>
    <w:basedOn w:val="Normal"/>
    <w:link w:val="FooterChar"/>
    <w:uiPriority w:val="99"/>
    <w:unhideWhenUsed/>
    <w:rsid w:val="00D33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C2A"/>
  </w:style>
  <w:style w:type="paragraph" w:styleId="Revision">
    <w:name w:val="Revision"/>
    <w:hidden/>
    <w:uiPriority w:val="99"/>
    <w:semiHidden/>
    <w:rsid w:val="00E019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83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1701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Alvarado Santis</dc:creator>
  <cp:keywords/>
  <dc:description/>
  <cp:lastModifiedBy>Krom, Laurie J.</cp:lastModifiedBy>
  <cp:revision>2</cp:revision>
  <dcterms:created xsi:type="dcterms:W3CDTF">2023-11-14T17:28:00Z</dcterms:created>
  <dcterms:modified xsi:type="dcterms:W3CDTF">2023-11-14T17:28:00Z</dcterms:modified>
</cp:coreProperties>
</file>