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60BEA" w14:textId="037DFDF7" w:rsidR="006640BB" w:rsidRDefault="006A03E5">
      <w:r>
        <w:t xml:space="preserve">Instructions: As a group identify an issue or problem your TTC would like to address (or are already addressing) using this system change model. If you have several TTCs in your room, you can work through this exercise on </w:t>
      </w:r>
      <w:r w:rsidR="001D70B7">
        <w:t>one or two</w:t>
      </w:r>
      <w:r>
        <w:t xml:space="preserve"> </w:t>
      </w:r>
      <w:r w:rsidR="000F724E">
        <w:t>common issues.</w:t>
      </w:r>
    </w:p>
    <w:p w14:paraId="2F79C940" w14:textId="1F150783" w:rsidR="006A03E5" w:rsidRDefault="00CC5EF5">
      <w:r>
        <w:t xml:space="preserve">What is the intractable problem or issue your TTC is addressing? </w:t>
      </w:r>
      <w:r w:rsidR="00A97A5F">
        <w:t>______________________________</w:t>
      </w:r>
    </w:p>
    <w:p w14:paraId="22252923" w14:textId="29C0844C" w:rsidR="00807668" w:rsidRDefault="00807668">
      <w:r>
        <w:t xml:space="preserve">Use the following table to explore what system conditions are holding the </w:t>
      </w:r>
      <w:r w:rsidR="00AC37D3">
        <w:t xml:space="preserve">issue or problem you want to change in place. </w:t>
      </w:r>
      <w:r w:rsidR="0045283E">
        <w:t xml:space="preserve">The second column just provides some examples </w:t>
      </w:r>
      <w:r w:rsidR="00A97A5F">
        <w:t xml:space="preserve">of what this looks like for stigma. </w:t>
      </w:r>
    </w:p>
    <w:tbl>
      <w:tblPr>
        <w:tblStyle w:val="TableGrid"/>
        <w:tblW w:w="0" w:type="auto"/>
        <w:tblLook w:val="04A0" w:firstRow="1" w:lastRow="0" w:firstColumn="1" w:lastColumn="0" w:noHBand="0" w:noVBand="1"/>
      </w:tblPr>
      <w:tblGrid>
        <w:gridCol w:w="2065"/>
        <w:gridCol w:w="2250"/>
        <w:gridCol w:w="5035"/>
      </w:tblGrid>
      <w:tr w:rsidR="006A03E5" w14:paraId="2D933241" w14:textId="77777777" w:rsidTr="006A03E5">
        <w:tc>
          <w:tcPr>
            <w:tcW w:w="9350" w:type="dxa"/>
            <w:gridSpan w:val="3"/>
            <w:shd w:val="clear" w:color="auto" w:fill="70AD47" w:themeFill="accent6"/>
          </w:tcPr>
          <w:p w14:paraId="35DD3689" w14:textId="77777777" w:rsidR="006A03E5" w:rsidRPr="006A03E5" w:rsidRDefault="006A03E5" w:rsidP="006A03E5">
            <w:pPr>
              <w:jc w:val="center"/>
              <w:rPr>
                <w:b/>
                <w:bCs/>
                <w:color w:val="FFFFFF" w:themeColor="background1"/>
                <w:sz w:val="32"/>
                <w:szCs w:val="32"/>
              </w:rPr>
            </w:pPr>
            <w:r w:rsidRPr="006A03E5">
              <w:rPr>
                <w:b/>
                <w:bCs/>
                <w:color w:val="FFFFFF" w:themeColor="background1"/>
                <w:sz w:val="32"/>
                <w:szCs w:val="32"/>
              </w:rPr>
              <w:t>DIAGNOSIS:</w:t>
            </w:r>
          </w:p>
          <w:p w14:paraId="2C21F3D0" w14:textId="2215E4E3" w:rsidR="006A03E5" w:rsidRPr="006A03E5" w:rsidRDefault="006A03E5" w:rsidP="006A03E5">
            <w:pPr>
              <w:jc w:val="center"/>
              <w:rPr>
                <w:b/>
                <w:bCs/>
                <w:color w:val="FFFFFF" w:themeColor="background1"/>
                <w:sz w:val="32"/>
                <w:szCs w:val="32"/>
              </w:rPr>
            </w:pPr>
            <w:r w:rsidRPr="006A03E5">
              <w:rPr>
                <w:b/>
                <w:bCs/>
                <w:color w:val="FFFFFF" w:themeColor="background1"/>
                <w:sz w:val="32"/>
                <w:szCs w:val="32"/>
              </w:rPr>
              <w:t>ASSESSING SYSTEMS CONDITIONS</w:t>
            </w:r>
          </w:p>
        </w:tc>
      </w:tr>
      <w:tr w:rsidR="006A03E5" w14:paraId="786D9B00" w14:textId="77777777" w:rsidTr="006A03E5">
        <w:tc>
          <w:tcPr>
            <w:tcW w:w="2065" w:type="dxa"/>
            <w:shd w:val="clear" w:color="auto" w:fill="E7E6E6" w:themeFill="background2"/>
          </w:tcPr>
          <w:p w14:paraId="02FBAA3B" w14:textId="141A4969" w:rsidR="006A03E5" w:rsidRDefault="006A03E5" w:rsidP="006A03E5">
            <w:pPr>
              <w:jc w:val="center"/>
            </w:pPr>
            <w:r>
              <w:t>System Change Condition</w:t>
            </w:r>
          </w:p>
        </w:tc>
        <w:tc>
          <w:tcPr>
            <w:tcW w:w="2250" w:type="dxa"/>
            <w:shd w:val="clear" w:color="auto" w:fill="E7E6E6" w:themeFill="background2"/>
          </w:tcPr>
          <w:p w14:paraId="19A4EBB8" w14:textId="77777777" w:rsidR="006A03E5" w:rsidRDefault="006A03E5" w:rsidP="006A03E5">
            <w:pPr>
              <w:jc w:val="center"/>
            </w:pPr>
            <w:r>
              <w:t xml:space="preserve">Example </w:t>
            </w:r>
          </w:p>
          <w:p w14:paraId="0BBE38E8" w14:textId="2352829E" w:rsidR="006A03E5" w:rsidRDefault="006A03E5" w:rsidP="006A03E5">
            <w:pPr>
              <w:jc w:val="center"/>
            </w:pPr>
            <w:r>
              <w:t>(using SUD stigma)</w:t>
            </w:r>
          </w:p>
        </w:tc>
        <w:tc>
          <w:tcPr>
            <w:tcW w:w="5035" w:type="dxa"/>
            <w:shd w:val="clear" w:color="auto" w:fill="E7E6E6" w:themeFill="background2"/>
          </w:tcPr>
          <w:p w14:paraId="1B99DADA" w14:textId="0A1DC555" w:rsidR="006A03E5" w:rsidRDefault="006A03E5" w:rsidP="006A03E5">
            <w:pPr>
              <w:jc w:val="center"/>
            </w:pPr>
            <w:r>
              <w:t>What existing elements are reinforcing the current conditions and hindering our progress?</w:t>
            </w:r>
          </w:p>
        </w:tc>
      </w:tr>
      <w:tr w:rsidR="006A03E5" w14:paraId="3A2FC622" w14:textId="77777777" w:rsidTr="006A03E5">
        <w:tc>
          <w:tcPr>
            <w:tcW w:w="2065" w:type="dxa"/>
            <w:shd w:val="clear" w:color="auto" w:fill="70AD47" w:themeFill="accent6"/>
          </w:tcPr>
          <w:p w14:paraId="1FE03A56" w14:textId="26228FDC" w:rsidR="006A03E5" w:rsidRPr="006640BB" w:rsidRDefault="006A03E5" w:rsidP="006A03E5">
            <w:pPr>
              <w:jc w:val="center"/>
              <w:rPr>
                <w:b/>
                <w:bCs/>
                <w:color w:val="FFFFFF" w:themeColor="background1"/>
              </w:rPr>
            </w:pPr>
            <w:r w:rsidRPr="006640BB">
              <w:rPr>
                <w:b/>
                <w:bCs/>
                <w:color w:val="FFFFFF" w:themeColor="background1"/>
              </w:rPr>
              <w:t>Policies</w:t>
            </w:r>
          </w:p>
        </w:tc>
        <w:tc>
          <w:tcPr>
            <w:tcW w:w="2250" w:type="dxa"/>
            <w:shd w:val="clear" w:color="auto" w:fill="70AD47" w:themeFill="accent6"/>
          </w:tcPr>
          <w:p w14:paraId="782AC3B0" w14:textId="3560B417" w:rsidR="006A03E5" w:rsidRPr="006A03E5" w:rsidRDefault="0089049E" w:rsidP="003E7D0F">
            <w:pPr>
              <w:rPr>
                <w:color w:val="FFFFFF" w:themeColor="background1"/>
              </w:rPr>
            </w:pPr>
            <w:r>
              <w:rPr>
                <w:color w:val="FFFFFF" w:themeColor="background1"/>
              </w:rPr>
              <w:t>Criminalization of Substance Use</w:t>
            </w:r>
            <w:r w:rsidR="002221B1">
              <w:rPr>
                <w:color w:val="FFFFFF" w:themeColor="background1"/>
              </w:rPr>
              <w:t xml:space="preserve">, </w:t>
            </w:r>
            <w:r w:rsidR="00ED0652">
              <w:rPr>
                <w:color w:val="FFFFFF" w:themeColor="background1"/>
              </w:rPr>
              <w:t>rejection of harm reduction strategies</w:t>
            </w:r>
            <w:r w:rsidR="004A0921">
              <w:rPr>
                <w:color w:val="FFFFFF" w:themeColor="background1"/>
              </w:rPr>
              <w:t xml:space="preserve">, </w:t>
            </w:r>
            <w:r w:rsidR="00E73C10">
              <w:rPr>
                <w:color w:val="FFFFFF" w:themeColor="background1"/>
              </w:rPr>
              <w:t>sustained abstinence as a precondition to entering certain services.</w:t>
            </w:r>
          </w:p>
        </w:tc>
        <w:tc>
          <w:tcPr>
            <w:tcW w:w="5035" w:type="dxa"/>
          </w:tcPr>
          <w:p w14:paraId="1BA23DF6" w14:textId="77777777" w:rsidR="006A03E5" w:rsidRDefault="006A03E5"/>
        </w:tc>
      </w:tr>
      <w:tr w:rsidR="006A03E5" w14:paraId="7B1AE88E" w14:textId="77777777" w:rsidTr="006A03E5">
        <w:tc>
          <w:tcPr>
            <w:tcW w:w="2065" w:type="dxa"/>
            <w:shd w:val="clear" w:color="auto" w:fill="70AD47" w:themeFill="accent6"/>
          </w:tcPr>
          <w:p w14:paraId="55D0CFEE" w14:textId="61E83808" w:rsidR="006A03E5" w:rsidRPr="006640BB" w:rsidRDefault="006A03E5" w:rsidP="006A03E5">
            <w:pPr>
              <w:jc w:val="center"/>
              <w:rPr>
                <w:b/>
                <w:bCs/>
                <w:color w:val="FFFFFF" w:themeColor="background1"/>
              </w:rPr>
            </w:pPr>
            <w:r w:rsidRPr="006640BB">
              <w:rPr>
                <w:b/>
                <w:bCs/>
                <w:color w:val="FFFFFF" w:themeColor="background1"/>
              </w:rPr>
              <w:t>Practices</w:t>
            </w:r>
          </w:p>
        </w:tc>
        <w:tc>
          <w:tcPr>
            <w:tcW w:w="2250" w:type="dxa"/>
            <w:shd w:val="clear" w:color="auto" w:fill="70AD47" w:themeFill="accent6"/>
          </w:tcPr>
          <w:p w14:paraId="46C5C589" w14:textId="50EC8B84" w:rsidR="006A03E5" w:rsidRPr="00854928" w:rsidRDefault="00196279">
            <w:pPr>
              <w:rPr>
                <w:color w:val="FFFFFF" w:themeColor="background1"/>
              </w:rPr>
            </w:pPr>
            <w:r>
              <w:rPr>
                <w:color w:val="FFFFFF" w:themeColor="background1"/>
              </w:rPr>
              <w:t xml:space="preserve">Blaming people with SUD for their condition, </w:t>
            </w:r>
            <w:r w:rsidR="0010245E">
              <w:rPr>
                <w:color w:val="FFFFFF" w:themeColor="background1"/>
              </w:rPr>
              <w:t xml:space="preserve">rejecting people with </w:t>
            </w:r>
            <w:r w:rsidR="000E2F90">
              <w:rPr>
                <w:color w:val="FFFFFF" w:themeColor="background1"/>
              </w:rPr>
              <w:t>SUDs, denying</w:t>
            </w:r>
            <w:r w:rsidR="00DD11E7">
              <w:rPr>
                <w:color w:val="FFFFFF" w:themeColor="background1"/>
              </w:rPr>
              <w:t xml:space="preserve"> medical care.</w:t>
            </w:r>
            <w:r w:rsidR="0047533A">
              <w:rPr>
                <w:color w:val="FFFFFF" w:themeColor="background1"/>
              </w:rPr>
              <w:t xml:space="preserve"> Individuals hide their substance use to avoid being judged.</w:t>
            </w:r>
          </w:p>
        </w:tc>
        <w:tc>
          <w:tcPr>
            <w:tcW w:w="5035" w:type="dxa"/>
          </w:tcPr>
          <w:p w14:paraId="2C37FE13" w14:textId="77777777" w:rsidR="006A03E5" w:rsidRDefault="006A03E5"/>
        </w:tc>
      </w:tr>
      <w:tr w:rsidR="006A03E5" w14:paraId="0704EFE6" w14:textId="77777777" w:rsidTr="006A03E5">
        <w:tc>
          <w:tcPr>
            <w:tcW w:w="2065" w:type="dxa"/>
            <w:shd w:val="clear" w:color="auto" w:fill="70AD47" w:themeFill="accent6"/>
          </w:tcPr>
          <w:p w14:paraId="52587EA1" w14:textId="6F66CCBF" w:rsidR="006A03E5" w:rsidRPr="006640BB" w:rsidRDefault="006A03E5" w:rsidP="006A03E5">
            <w:pPr>
              <w:jc w:val="center"/>
              <w:rPr>
                <w:b/>
                <w:bCs/>
                <w:color w:val="FFFFFF" w:themeColor="background1"/>
              </w:rPr>
            </w:pPr>
            <w:r w:rsidRPr="006640BB">
              <w:rPr>
                <w:b/>
                <w:bCs/>
                <w:color w:val="FFFFFF" w:themeColor="background1"/>
              </w:rPr>
              <w:t>Resource Flows</w:t>
            </w:r>
          </w:p>
        </w:tc>
        <w:tc>
          <w:tcPr>
            <w:tcW w:w="2250" w:type="dxa"/>
            <w:shd w:val="clear" w:color="auto" w:fill="70AD47" w:themeFill="accent6"/>
          </w:tcPr>
          <w:p w14:paraId="27FEC7D2" w14:textId="4533CB8A" w:rsidR="006A03E5" w:rsidRPr="006A5838" w:rsidRDefault="004B5EA5">
            <w:pPr>
              <w:rPr>
                <w:color w:val="FFFFFF" w:themeColor="background1"/>
              </w:rPr>
            </w:pPr>
            <w:r>
              <w:rPr>
                <w:color w:val="FFFFFF" w:themeColor="background1"/>
              </w:rPr>
              <w:t>SUD services receive the least amount of funding</w:t>
            </w:r>
            <w:r w:rsidR="000E2F90">
              <w:rPr>
                <w:color w:val="FFFFFF" w:themeColor="background1"/>
              </w:rPr>
              <w:t xml:space="preserve"> of all health conditions. </w:t>
            </w:r>
          </w:p>
        </w:tc>
        <w:tc>
          <w:tcPr>
            <w:tcW w:w="5035" w:type="dxa"/>
          </w:tcPr>
          <w:p w14:paraId="74449B41" w14:textId="77777777" w:rsidR="006A03E5" w:rsidRDefault="006A03E5"/>
        </w:tc>
      </w:tr>
      <w:tr w:rsidR="006A03E5" w14:paraId="0303702D" w14:textId="77777777" w:rsidTr="006A03E5">
        <w:tc>
          <w:tcPr>
            <w:tcW w:w="2065" w:type="dxa"/>
            <w:shd w:val="clear" w:color="auto" w:fill="70AD47" w:themeFill="accent6"/>
          </w:tcPr>
          <w:p w14:paraId="6373F197" w14:textId="2C2C2229" w:rsidR="006A03E5" w:rsidRPr="006640BB" w:rsidRDefault="006A03E5" w:rsidP="006A03E5">
            <w:pPr>
              <w:jc w:val="center"/>
              <w:rPr>
                <w:b/>
                <w:bCs/>
                <w:color w:val="FFFFFF" w:themeColor="background1"/>
              </w:rPr>
            </w:pPr>
            <w:r w:rsidRPr="006640BB">
              <w:rPr>
                <w:b/>
                <w:bCs/>
                <w:color w:val="FFFFFF" w:themeColor="background1"/>
              </w:rPr>
              <w:t>Relationships &amp; Connections</w:t>
            </w:r>
          </w:p>
        </w:tc>
        <w:tc>
          <w:tcPr>
            <w:tcW w:w="2250" w:type="dxa"/>
            <w:shd w:val="clear" w:color="auto" w:fill="70AD47" w:themeFill="accent6"/>
          </w:tcPr>
          <w:p w14:paraId="7208200B" w14:textId="1AD5ED4D" w:rsidR="005C5AA6" w:rsidRPr="00446B7E" w:rsidRDefault="00446B7E" w:rsidP="00A84915">
            <w:pPr>
              <w:rPr>
                <w:color w:val="FFFFFF" w:themeColor="background1"/>
              </w:rPr>
            </w:pPr>
            <w:r>
              <w:rPr>
                <w:color w:val="FFFFFF" w:themeColor="background1"/>
              </w:rPr>
              <w:t xml:space="preserve">Individuals with SUDs avoid </w:t>
            </w:r>
            <w:r w:rsidR="00F95AC2">
              <w:rPr>
                <w:color w:val="FFFFFF" w:themeColor="background1"/>
              </w:rPr>
              <w:t xml:space="preserve">asking for help from others, </w:t>
            </w:r>
            <w:r w:rsidR="005C1CFB">
              <w:rPr>
                <w:color w:val="FFFFFF" w:themeColor="background1"/>
              </w:rPr>
              <w:t xml:space="preserve">feel </w:t>
            </w:r>
            <w:r w:rsidR="00D5796B">
              <w:rPr>
                <w:color w:val="FFFFFF" w:themeColor="background1"/>
              </w:rPr>
              <w:t>inferior</w:t>
            </w:r>
            <w:r w:rsidR="005C1CFB">
              <w:rPr>
                <w:color w:val="FFFFFF" w:themeColor="background1"/>
              </w:rPr>
              <w:t xml:space="preserve">, </w:t>
            </w:r>
            <w:r w:rsidR="00785114">
              <w:rPr>
                <w:color w:val="FFFFFF" w:themeColor="background1"/>
              </w:rPr>
              <w:t>isolated</w:t>
            </w:r>
            <w:r w:rsidR="005C5AA6">
              <w:rPr>
                <w:color w:val="FFFFFF" w:themeColor="background1"/>
              </w:rPr>
              <w:t xml:space="preserve"> from family and friends. </w:t>
            </w:r>
          </w:p>
        </w:tc>
        <w:tc>
          <w:tcPr>
            <w:tcW w:w="5035" w:type="dxa"/>
          </w:tcPr>
          <w:p w14:paraId="3CC23F4E" w14:textId="77777777" w:rsidR="006A03E5" w:rsidRDefault="006A03E5"/>
        </w:tc>
      </w:tr>
      <w:tr w:rsidR="006A03E5" w14:paraId="0290434A" w14:textId="77777777" w:rsidTr="006A03E5">
        <w:tc>
          <w:tcPr>
            <w:tcW w:w="2065" w:type="dxa"/>
            <w:shd w:val="clear" w:color="auto" w:fill="70AD47" w:themeFill="accent6"/>
          </w:tcPr>
          <w:p w14:paraId="1EEF507A" w14:textId="181A8CC3" w:rsidR="006A03E5" w:rsidRPr="006640BB" w:rsidRDefault="006A03E5" w:rsidP="006A03E5">
            <w:pPr>
              <w:jc w:val="center"/>
              <w:rPr>
                <w:b/>
                <w:bCs/>
                <w:color w:val="FFFFFF" w:themeColor="background1"/>
              </w:rPr>
            </w:pPr>
            <w:r w:rsidRPr="006640BB">
              <w:rPr>
                <w:b/>
                <w:bCs/>
                <w:color w:val="FFFFFF" w:themeColor="background1"/>
              </w:rPr>
              <w:t>Power Dynamics</w:t>
            </w:r>
          </w:p>
        </w:tc>
        <w:tc>
          <w:tcPr>
            <w:tcW w:w="2250" w:type="dxa"/>
            <w:shd w:val="clear" w:color="auto" w:fill="70AD47" w:themeFill="accent6"/>
          </w:tcPr>
          <w:p w14:paraId="5DEF15E9" w14:textId="26DFD026" w:rsidR="006A03E5" w:rsidRPr="00EF42F2" w:rsidRDefault="00EF42F2">
            <w:pPr>
              <w:rPr>
                <w:color w:val="FFFFFF" w:themeColor="background1"/>
              </w:rPr>
            </w:pPr>
            <w:r>
              <w:rPr>
                <w:color w:val="FFFFFF" w:themeColor="background1"/>
              </w:rPr>
              <w:t>People without SU</w:t>
            </w:r>
            <w:r w:rsidR="00A84915">
              <w:rPr>
                <w:color w:val="FFFFFF" w:themeColor="background1"/>
              </w:rPr>
              <w:t xml:space="preserve"> issues look down on</w:t>
            </w:r>
            <w:r w:rsidR="00F75C09">
              <w:rPr>
                <w:color w:val="FFFFFF" w:themeColor="background1"/>
              </w:rPr>
              <w:t xml:space="preserve"> individuals with SUDs.</w:t>
            </w:r>
          </w:p>
        </w:tc>
        <w:tc>
          <w:tcPr>
            <w:tcW w:w="5035" w:type="dxa"/>
          </w:tcPr>
          <w:p w14:paraId="38287153" w14:textId="77777777" w:rsidR="006A03E5" w:rsidRDefault="006A03E5"/>
        </w:tc>
      </w:tr>
      <w:tr w:rsidR="006A03E5" w14:paraId="27547952" w14:textId="77777777" w:rsidTr="006A03E5">
        <w:tc>
          <w:tcPr>
            <w:tcW w:w="2065" w:type="dxa"/>
            <w:shd w:val="clear" w:color="auto" w:fill="70AD47" w:themeFill="accent6"/>
          </w:tcPr>
          <w:p w14:paraId="2E239C43" w14:textId="4FE5BB6D" w:rsidR="006A03E5" w:rsidRPr="006640BB" w:rsidRDefault="006A03E5" w:rsidP="006A03E5">
            <w:pPr>
              <w:jc w:val="center"/>
              <w:rPr>
                <w:b/>
                <w:bCs/>
                <w:color w:val="FFFFFF" w:themeColor="background1"/>
              </w:rPr>
            </w:pPr>
            <w:r w:rsidRPr="006640BB">
              <w:rPr>
                <w:b/>
                <w:bCs/>
                <w:color w:val="FFFFFF" w:themeColor="background1"/>
              </w:rPr>
              <w:t>Mental Models</w:t>
            </w:r>
          </w:p>
        </w:tc>
        <w:tc>
          <w:tcPr>
            <w:tcW w:w="2250" w:type="dxa"/>
            <w:shd w:val="clear" w:color="auto" w:fill="70AD47" w:themeFill="accent6"/>
          </w:tcPr>
          <w:p w14:paraId="272E8FF5" w14:textId="7DAD1CD9" w:rsidR="006A03E5" w:rsidRPr="00196279" w:rsidRDefault="00196279">
            <w:pPr>
              <w:rPr>
                <w:color w:val="FFFFFF" w:themeColor="background1"/>
              </w:rPr>
            </w:pPr>
            <w:r>
              <w:rPr>
                <w:color w:val="FFFFFF" w:themeColor="background1"/>
              </w:rPr>
              <w:t xml:space="preserve">Moral model, </w:t>
            </w:r>
            <w:r w:rsidR="00303D89">
              <w:rPr>
                <w:color w:val="FFFFFF" w:themeColor="background1"/>
              </w:rPr>
              <w:t>Responsible for their behavior,</w:t>
            </w:r>
            <w:r w:rsidR="00ED0652">
              <w:rPr>
                <w:color w:val="FFFFFF" w:themeColor="background1"/>
              </w:rPr>
              <w:t xml:space="preserve"> weak, and unreliable. </w:t>
            </w:r>
          </w:p>
        </w:tc>
        <w:tc>
          <w:tcPr>
            <w:tcW w:w="5035" w:type="dxa"/>
          </w:tcPr>
          <w:p w14:paraId="405566C5" w14:textId="77777777" w:rsidR="006A03E5" w:rsidRDefault="006A03E5"/>
        </w:tc>
      </w:tr>
    </w:tbl>
    <w:p w14:paraId="6BA57D2F" w14:textId="77777777" w:rsidR="006A03E5" w:rsidRDefault="006A03E5"/>
    <w:p w14:paraId="47CAD205" w14:textId="445D8B0B" w:rsidR="006640BB" w:rsidRDefault="00032D33">
      <w:r>
        <w:rPr>
          <w:noProof/>
        </w:rPr>
        <mc:AlternateContent>
          <mc:Choice Requires="wps">
            <w:drawing>
              <wp:anchor distT="0" distB="0" distL="114300" distR="114300" simplePos="0" relativeHeight="251659264" behindDoc="0" locked="0" layoutInCell="1" allowOverlap="1" wp14:anchorId="53ABED87" wp14:editId="6C8A7B41">
                <wp:simplePos x="0" y="0"/>
                <wp:positionH relativeFrom="column">
                  <wp:posOffset>3305175</wp:posOffset>
                </wp:positionH>
                <wp:positionV relativeFrom="paragraph">
                  <wp:posOffset>97790</wp:posOffset>
                </wp:positionV>
                <wp:extent cx="3028950" cy="523875"/>
                <wp:effectExtent l="0" t="0" r="19050" b="28575"/>
                <wp:wrapNone/>
                <wp:docPr id="1271197054" name="Text Box 1"/>
                <wp:cNvGraphicFramePr/>
                <a:graphic xmlns:a="http://schemas.openxmlformats.org/drawingml/2006/main">
                  <a:graphicData uri="http://schemas.microsoft.com/office/word/2010/wordprocessingShape">
                    <wps:wsp>
                      <wps:cNvSpPr txBox="1"/>
                      <wps:spPr>
                        <a:xfrm>
                          <a:off x="0" y="0"/>
                          <a:ext cx="3028950" cy="523875"/>
                        </a:xfrm>
                        <a:prstGeom prst="rect">
                          <a:avLst/>
                        </a:prstGeom>
                        <a:solidFill>
                          <a:schemeClr val="lt1"/>
                        </a:solidFill>
                        <a:ln w="6350">
                          <a:solidFill>
                            <a:prstClr val="black"/>
                          </a:solidFill>
                        </a:ln>
                      </wps:spPr>
                      <wps:txbx>
                        <w:txbxContent>
                          <w:p w14:paraId="51241427" w14:textId="6DB9696B" w:rsidR="00032D33" w:rsidRDefault="00F3557A">
                            <w:r>
                              <w:t xml:space="preserve">Adapted from the: </w:t>
                            </w:r>
                            <w:hyperlink r:id="rId4" w:history="1">
                              <w:r w:rsidR="00D21D0E">
                                <w:rPr>
                                  <w:rStyle w:val="Hyperlink"/>
                                </w:rPr>
                                <w:t>FSG Water of Systems Change Action Learning Exercise</w:t>
                              </w:r>
                            </w:hyperlink>
                          </w:p>
                          <w:p w14:paraId="09464ADF" w14:textId="77777777" w:rsidR="00D21D0E" w:rsidRDefault="00D21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ABED87" id="_x0000_t202" coordsize="21600,21600" o:spt="202" path="m,l,21600r21600,l21600,xe">
                <v:stroke joinstyle="miter"/>
                <v:path gradientshapeok="t" o:connecttype="rect"/>
              </v:shapetype>
              <v:shape id="Text Box 1" o:spid="_x0000_s1026" type="#_x0000_t202" style="position:absolute;margin-left:260.25pt;margin-top:7.7pt;width:238.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" fillcolor="white [3201]" strokeweight=".5pt">
                <v:textbox>
                  <w:txbxContent>
                    <w:p w14:paraId="51241427" w14:textId="6DB9696B" w:rsidR="00032D33" w:rsidRDefault="00F3557A">
                      <w:r>
                        <w:t xml:space="preserve">Adapted from the: </w:t>
                      </w:r>
                      <w:hyperlink r:id="rId5" w:history="1">
                        <w:r w:rsidR="00D21D0E">
                          <w:rPr>
                            <w:rStyle w:val="Hyperlink"/>
                          </w:rPr>
                          <w:t>FSG Water of Systems Change Action Learning Exercise</w:t>
                        </w:r>
                      </w:hyperlink>
                    </w:p>
                    <w:p w14:paraId="09464ADF" w14:textId="77777777" w:rsidR="00D21D0E" w:rsidRDefault="00D21D0E"/>
                  </w:txbxContent>
                </v:textbox>
              </v:shape>
            </w:pict>
          </mc:Fallback>
        </mc:AlternateContent>
      </w:r>
    </w:p>
    <w:p w14:paraId="3C1E40D3" w14:textId="77777777" w:rsidR="006640BB" w:rsidRDefault="006640BB"/>
    <w:p w14:paraId="5E64FC71" w14:textId="77777777" w:rsidR="006640BB" w:rsidRDefault="006640BB"/>
    <w:p w14:paraId="13145D54" w14:textId="77777777" w:rsidR="006640BB" w:rsidRDefault="006640BB"/>
    <w:p w14:paraId="198B3B35" w14:textId="77777777" w:rsidR="006640BB" w:rsidRDefault="006640BB"/>
    <w:p w14:paraId="63B212A2" w14:textId="77777777" w:rsidR="006640BB" w:rsidRDefault="006640BB"/>
    <w:p w14:paraId="292A3B32" w14:textId="77777777" w:rsidR="006640BB" w:rsidRDefault="006640BB"/>
    <w:p w14:paraId="77E56950" w14:textId="77777777" w:rsidR="006640BB" w:rsidRDefault="006640BB"/>
    <w:p w14:paraId="48FABAB1" w14:textId="77777777" w:rsidR="006640BB" w:rsidRDefault="006640BB"/>
    <w:p w14:paraId="7FC555A0" w14:textId="77777777" w:rsidR="006640BB" w:rsidRDefault="006640BB"/>
    <w:p w14:paraId="5FE507D1" w14:textId="77777777" w:rsidR="006640BB" w:rsidRDefault="006640BB"/>
    <w:p w14:paraId="221F742E" w14:textId="77777777" w:rsidR="006640BB" w:rsidRDefault="006640BB"/>
    <w:p w14:paraId="6B5CF4FC" w14:textId="77777777" w:rsidR="006640BB" w:rsidRDefault="006640BB"/>
    <w:p w14:paraId="7995B191" w14:textId="77777777" w:rsidR="006640BB" w:rsidRDefault="006640BB"/>
    <w:p w14:paraId="292CA296" w14:textId="77777777" w:rsidR="006640BB" w:rsidRDefault="006640BB"/>
    <w:p w14:paraId="57B96AD5" w14:textId="77777777" w:rsidR="006640BB" w:rsidRDefault="006640BB"/>
    <w:p w14:paraId="7830CF3D" w14:textId="77777777" w:rsidR="006640BB" w:rsidRDefault="006640BB"/>
    <w:p w14:paraId="1283E978" w14:textId="77777777" w:rsidR="006640BB" w:rsidRDefault="006640BB"/>
    <w:p w14:paraId="00212AAE" w14:textId="77777777" w:rsidR="006640BB" w:rsidRDefault="006640BB"/>
    <w:p w14:paraId="2598FA85" w14:textId="77777777" w:rsidR="006640BB" w:rsidRDefault="006640BB"/>
    <w:p w14:paraId="4A42E4D7" w14:textId="77777777" w:rsidR="006640BB" w:rsidRDefault="006640BB"/>
    <w:p w14:paraId="765CD8B0" w14:textId="77777777" w:rsidR="006640BB" w:rsidRDefault="006640BB"/>
    <w:p w14:paraId="732603F1" w14:textId="77777777" w:rsidR="006640BB" w:rsidRDefault="006640BB"/>
    <w:p w14:paraId="780BF3B9" w14:textId="77777777" w:rsidR="006640BB" w:rsidRDefault="006640BB"/>
    <w:p w14:paraId="637A413C" w14:textId="77777777" w:rsidR="006640BB" w:rsidRDefault="006640BB"/>
    <w:p w14:paraId="0E094B18" w14:textId="77777777" w:rsidR="006640BB" w:rsidRDefault="006640BB"/>
    <w:p w14:paraId="333A8018" w14:textId="77777777" w:rsidR="006640BB" w:rsidRDefault="006640BB"/>
    <w:sectPr w:rsidR="00664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E5"/>
    <w:rsid w:val="00032D33"/>
    <w:rsid w:val="000E2F90"/>
    <w:rsid w:val="000F724E"/>
    <w:rsid w:val="0010245E"/>
    <w:rsid w:val="00170B13"/>
    <w:rsid w:val="00196279"/>
    <w:rsid w:val="001A0498"/>
    <w:rsid w:val="001D70B7"/>
    <w:rsid w:val="002221B1"/>
    <w:rsid w:val="00303D89"/>
    <w:rsid w:val="0035352B"/>
    <w:rsid w:val="003E7D0F"/>
    <w:rsid w:val="00431855"/>
    <w:rsid w:val="00446B7E"/>
    <w:rsid w:val="0045283E"/>
    <w:rsid w:val="0047533A"/>
    <w:rsid w:val="004A0921"/>
    <w:rsid w:val="004A0F42"/>
    <w:rsid w:val="004B5EA5"/>
    <w:rsid w:val="00596544"/>
    <w:rsid w:val="005C1CFB"/>
    <w:rsid w:val="005C5AA6"/>
    <w:rsid w:val="006640BB"/>
    <w:rsid w:val="006A03E5"/>
    <w:rsid w:val="006A5838"/>
    <w:rsid w:val="006C5005"/>
    <w:rsid w:val="00785114"/>
    <w:rsid w:val="007E23A4"/>
    <w:rsid w:val="00807668"/>
    <w:rsid w:val="008241A8"/>
    <w:rsid w:val="00854928"/>
    <w:rsid w:val="0089049E"/>
    <w:rsid w:val="008D501C"/>
    <w:rsid w:val="00900CDB"/>
    <w:rsid w:val="009C60FA"/>
    <w:rsid w:val="00A10AF7"/>
    <w:rsid w:val="00A46E87"/>
    <w:rsid w:val="00A84915"/>
    <w:rsid w:val="00A97A5F"/>
    <w:rsid w:val="00AC37D3"/>
    <w:rsid w:val="00CC5EF5"/>
    <w:rsid w:val="00D21D0E"/>
    <w:rsid w:val="00D41927"/>
    <w:rsid w:val="00D5796B"/>
    <w:rsid w:val="00DB2782"/>
    <w:rsid w:val="00DD11E7"/>
    <w:rsid w:val="00E73C10"/>
    <w:rsid w:val="00ED0652"/>
    <w:rsid w:val="00EF42F2"/>
    <w:rsid w:val="00F3557A"/>
    <w:rsid w:val="00F75C09"/>
    <w:rsid w:val="00F9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90BF"/>
  <w15:chartTrackingRefBased/>
  <w15:docId w15:val="{416E2FA4-3FAA-4FD8-8185-54861404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52B"/>
    <w:rPr>
      <w:color w:val="0563C1" w:themeColor="hyperlink"/>
      <w:u w:val="single"/>
    </w:rPr>
  </w:style>
  <w:style w:type="character" w:styleId="UnresolvedMention">
    <w:name w:val="Unresolved Mention"/>
    <w:basedOn w:val="DefaultParagraphFont"/>
    <w:uiPriority w:val="99"/>
    <w:semiHidden/>
    <w:unhideWhenUsed/>
    <w:rsid w:val="0035352B"/>
    <w:rPr>
      <w:color w:val="605E5C"/>
      <w:shd w:val="clear" w:color="auto" w:fill="E1DFDD"/>
    </w:rPr>
  </w:style>
  <w:style w:type="character" w:styleId="FollowedHyperlink">
    <w:name w:val="FollowedHyperlink"/>
    <w:basedOn w:val="DefaultParagraphFont"/>
    <w:uiPriority w:val="99"/>
    <w:semiHidden/>
    <w:unhideWhenUsed/>
    <w:rsid w:val="00353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sg.org/resource/water-systems-change-action-learning-exercise/" TargetMode="External"/><Relationship Id="rId4" Type="http://schemas.openxmlformats.org/officeDocument/2006/relationships/hyperlink" Target="https://www.fsg.org/resource/water-systems-change-action-learning-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Denna Vandersloot</dc:creator>
  <cp:keywords/>
  <dc:description/>
  <cp:lastModifiedBy>Denna Vandersloot</cp:lastModifiedBy>
  <cp:revision>2</cp:revision>
  <dcterms:created xsi:type="dcterms:W3CDTF">2024-02-27T01:13:00Z</dcterms:created>
  <dcterms:modified xsi:type="dcterms:W3CDTF">2024-02-27T01:13:00Z</dcterms:modified>
</cp:coreProperties>
</file>