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BCA3" w14:textId="7C1FB56B" w:rsidR="00BC1428" w:rsidRDefault="00BC1428" w:rsidP="00BC1428">
      <w:pPr>
        <w:pStyle w:val="Header"/>
        <w:rPr>
          <w:rStyle w:val="TitleChar"/>
        </w:rPr>
      </w:pPr>
      <w:r>
        <w:rPr>
          <w:rFonts w:asciiTheme="majorHAnsi" w:eastAsiaTheme="majorEastAsia" w:hAnsiTheme="majorHAnsi" w:cstheme="majorBidi"/>
          <w:noProof/>
          <w:spacing w:val="-10"/>
          <w:kern w:val="28"/>
          <w:sz w:val="56"/>
          <w:szCs w:val="56"/>
        </w:rPr>
        <w:drawing>
          <wp:anchor distT="0" distB="0" distL="114300" distR="114300" simplePos="0" relativeHeight="251659264" behindDoc="0" locked="0" layoutInCell="1" allowOverlap="1" wp14:anchorId="7FF57DEB" wp14:editId="65C52333">
            <wp:simplePos x="0" y="0"/>
            <wp:positionH relativeFrom="margin">
              <wp:posOffset>-27305</wp:posOffset>
            </wp:positionH>
            <wp:positionV relativeFrom="paragraph">
              <wp:posOffset>264795</wp:posOffset>
            </wp:positionV>
            <wp:extent cx="2711450" cy="105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40x560cropped-1024x39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450" cy="1054100"/>
                    </a:xfrm>
                    <a:prstGeom prst="rect">
                      <a:avLst/>
                    </a:prstGeom>
                  </pic:spPr>
                </pic:pic>
              </a:graphicData>
            </a:graphic>
          </wp:anchor>
        </w:drawing>
      </w:r>
    </w:p>
    <w:p w14:paraId="178888A8" w14:textId="77777777" w:rsidR="00EC6026" w:rsidRDefault="00EC6026" w:rsidP="00BC1428">
      <w:pPr>
        <w:pStyle w:val="Header"/>
        <w:tabs>
          <w:tab w:val="clear" w:pos="4680"/>
          <w:tab w:val="clear" w:pos="9360"/>
          <w:tab w:val="right" w:pos="9540"/>
        </w:tabs>
        <w:rPr>
          <w:rStyle w:val="TitleChar"/>
          <w:b/>
          <w:sz w:val="40"/>
          <w:szCs w:val="40"/>
        </w:rPr>
      </w:pPr>
    </w:p>
    <w:p w14:paraId="478EAC2F" w14:textId="702863B6" w:rsidR="00BC1428" w:rsidRDefault="00BC1428" w:rsidP="00BC1428">
      <w:pPr>
        <w:pStyle w:val="Header"/>
        <w:tabs>
          <w:tab w:val="clear" w:pos="4680"/>
          <w:tab w:val="clear" w:pos="9360"/>
          <w:tab w:val="right" w:pos="9540"/>
        </w:tabs>
        <w:rPr>
          <w:rStyle w:val="TitleChar"/>
          <w:b/>
          <w:sz w:val="40"/>
          <w:szCs w:val="40"/>
        </w:rPr>
        <w:sectPr w:rsidR="00BC1428" w:rsidSect="00BC1428">
          <w:headerReference w:type="default" r:id="rId9"/>
          <w:footerReference w:type="default" r:id="rId10"/>
          <w:type w:val="continuous"/>
          <w:pgSz w:w="12240" w:h="15840"/>
          <w:pgMar w:top="450" w:right="1080" w:bottom="1440" w:left="1440" w:header="540" w:footer="720" w:gutter="0"/>
          <w:cols w:space="720"/>
          <w:docGrid w:linePitch="360"/>
        </w:sectPr>
      </w:pPr>
      <w:r w:rsidRPr="00BC1428">
        <w:rPr>
          <w:rStyle w:val="TitleChar"/>
          <w:b/>
          <w:sz w:val="40"/>
          <w:szCs w:val="40"/>
        </w:rPr>
        <w:t xml:space="preserve">ACF </w:t>
      </w:r>
      <w:r w:rsidR="00425818">
        <w:rPr>
          <w:rStyle w:val="TitleChar"/>
          <w:b/>
          <w:sz w:val="40"/>
          <w:szCs w:val="40"/>
        </w:rPr>
        <w:t xml:space="preserve">Native American </w:t>
      </w:r>
      <w:r w:rsidR="00425818" w:rsidRPr="00BC1428">
        <w:rPr>
          <w:rStyle w:val="TitleChar"/>
          <w:b/>
          <w:sz w:val="40"/>
          <w:szCs w:val="40"/>
        </w:rPr>
        <w:t>COVID</w:t>
      </w:r>
      <w:r w:rsidRPr="00BC1428">
        <w:rPr>
          <w:rStyle w:val="TitleChar"/>
          <w:b/>
          <w:sz w:val="40"/>
          <w:szCs w:val="40"/>
        </w:rPr>
        <w:t>-19 RESOURCES</w:t>
      </w:r>
    </w:p>
    <w:p w14:paraId="19D0D331" w14:textId="77777777" w:rsidR="00BC1428" w:rsidRDefault="00BC1428" w:rsidP="003324D2">
      <w:pPr>
        <w:spacing w:after="0"/>
        <w:rPr>
          <w:lang w:val="en"/>
        </w:rPr>
      </w:pPr>
    </w:p>
    <w:p w14:paraId="6A4311BD" w14:textId="77777777" w:rsidR="00EC6026" w:rsidRDefault="00EC6026" w:rsidP="003324D2">
      <w:pPr>
        <w:spacing w:after="0"/>
        <w:rPr>
          <w:lang w:val="en"/>
        </w:rPr>
      </w:pPr>
    </w:p>
    <w:p w14:paraId="5F017C35" w14:textId="3E6E3B03" w:rsidR="003324D2" w:rsidRDefault="003324D2" w:rsidP="003324D2">
      <w:pPr>
        <w:spacing w:after="0"/>
      </w:pPr>
      <w:r w:rsidRPr="002F2E7F">
        <w:rPr>
          <w:lang w:val="en"/>
        </w:rPr>
        <w:t xml:space="preserve">The Administration for Children and Families (ACF) is a division of the </w:t>
      </w:r>
      <w:r>
        <w:rPr>
          <w:lang w:val="en"/>
        </w:rPr>
        <w:t xml:space="preserve">U.S. </w:t>
      </w:r>
      <w:r w:rsidRPr="002F2E7F">
        <w:rPr>
          <w:lang w:val="en"/>
        </w:rPr>
        <w:t xml:space="preserve">Department of Health </w:t>
      </w:r>
      <w:r>
        <w:rPr>
          <w:lang w:val="en"/>
        </w:rPr>
        <w:t>and</w:t>
      </w:r>
      <w:r w:rsidRPr="002F2E7F">
        <w:rPr>
          <w:lang w:val="en"/>
        </w:rPr>
        <w:t xml:space="preserve"> Human Services</w:t>
      </w:r>
      <w:r>
        <w:rPr>
          <w:lang w:val="en"/>
        </w:rPr>
        <w:t xml:space="preserve"> (HHS)</w:t>
      </w:r>
      <w:r w:rsidRPr="002F2E7F">
        <w:rPr>
          <w:lang w:val="en"/>
        </w:rPr>
        <w:t xml:space="preserve">. </w:t>
      </w:r>
      <w:r>
        <w:rPr>
          <w:lang w:val="en"/>
        </w:rPr>
        <w:t>ACF</w:t>
      </w:r>
      <w:r w:rsidRPr="002F2E7F">
        <w:rPr>
          <w:lang w:val="en"/>
        </w:rPr>
        <w:t xml:space="preserve"> promote</w:t>
      </w:r>
      <w:r>
        <w:rPr>
          <w:lang w:val="en"/>
        </w:rPr>
        <w:t>s</w:t>
      </w:r>
      <w:r w:rsidRPr="002F2E7F">
        <w:rPr>
          <w:lang w:val="en"/>
        </w:rPr>
        <w:t xml:space="preserve"> the economic and social well-being of children, families, individuals</w:t>
      </w:r>
      <w:r w:rsidR="00B84527">
        <w:rPr>
          <w:lang w:val="en"/>
        </w:rPr>
        <w:t>,</w:t>
      </w:r>
      <w:r w:rsidRPr="002F2E7F">
        <w:rPr>
          <w:lang w:val="en"/>
        </w:rPr>
        <w:t xml:space="preserve"> and communities with leadership and resources for compassionate, effective delivery of human services.</w:t>
      </w:r>
      <w:r>
        <w:rPr>
          <w:lang w:val="en"/>
        </w:rPr>
        <w:t xml:space="preserve"> The Agency supports critical programs that are important </w:t>
      </w:r>
      <w:r w:rsidR="00682337">
        <w:rPr>
          <w:lang w:val="en"/>
        </w:rPr>
        <w:t>for</w:t>
      </w:r>
      <w:r>
        <w:rPr>
          <w:lang w:val="en"/>
        </w:rPr>
        <w:t xml:space="preserve"> tribes and Native American communities as they respond to the </w:t>
      </w:r>
      <w:r w:rsidR="00362E75" w:rsidRPr="00362E75">
        <w:rPr>
          <w:lang w:val="en"/>
        </w:rPr>
        <w:t>Coronavirus Disease 2019 (COVID-19)</w:t>
      </w:r>
      <w:r>
        <w:rPr>
          <w:lang w:val="en"/>
        </w:rPr>
        <w:t xml:space="preserve">. Examples of ACF programs </w:t>
      </w:r>
      <w:proofErr w:type="gramStart"/>
      <w:r>
        <w:rPr>
          <w:lang w:val="en"/>
        </w:rPr>
        <w:t>include:</w:t>
      </w:r>
      <w:proofErr w:type="gramEnd"/>
      <w:r>
        <w:rPr>
          <w:lang w:val="en"/>
        </w:rPr>
        <w:t xml:space="preserve"> </w:t>
      </w:r>
      <w:hyperlink r:id="rId11" w:history="1">
        <w:r w:rsidRPr="00682337">
          <w:rPr>
            <w:rStyle w:val="Hyperlink"/>
            <w:lang w:val="en"/>
          </w:rPr>
          <w:t>Head Start and Early Head Start</w:t>
        </w:r>
      </w:hyperlink>
      <w:r>
        <w:rPr>
          <w:lang w:val="en"/>
        </w:rPr>
        <w:t xml:space="preserve">, </w:t>
      </w:r>
      <w:hyperlink r:id="rId12" w:history="1">
        <w:r w:rsidRPr="00682337">
          <w:rPr>
            <w:rStyle w:val="Hyperlink"/>
            <w:lang w:val="en"/>
          </w:rPr>
          <w:t>Temporary Assistance for Needy Families (TANF)</w:t>
        </w:r>
      </w:hyperlink>
      <w:r>
        <w:rPr>
          <w:lang w:val="en"/>
        </w:rPr>
        <w:t xml:space="preserve">, </w:t>
      </w:r>
      <w:hyperlink r:id="rId13" w:history="1">
        <w:r w:rsidR="00710F2C" w:rsidRPr="00710F2C">
          <w:rPr>
            <w:rStyle w:val="Hyperlink"/>
            <w:lang w:val="en"/>
          </w:rPr>
          <w:t>child welfare</w:t>
        </w:r>
      </w:hyperlink>
      <w:r>
        <w:rPr>
          <w:lang w:val="en"/>
        </w:rPr>
        <w:t xml:space="preserve">, </w:t>
      </w:r>
      <w:hyperlink r:id="rId14" w:history="1">
        <w:r w:rsidRPr="00764AE0">
          <w:rPr>
            <w:rStyle w:val="Hyperlink"/>
            <w:lang w:val="en"/>
          </w:rPr>
          <w:t>Low Income Home Energy Assistance Program (LIHEAP)</w:t>
        </w:r>
      </w:hyperlink>
      <w:r>
        <w:rPr>
          <w:lang w:val="en"/>
        </w:rPr>
        <w:t xml:space="preserve">, and </w:t>
      </w:r>
      <w:hyperlink r:id="rId15" w:history="1">
        <w:r w:rsidRPr="00764AE0">
          <w:rPr>
            <w:rStyle w:val="Hyperlink"/>
            <w:lang w:val="en"/>
          </w:rPr>
          <w:t>Social and Economic Development Strategies (SEDS)</w:t>
        </w:r>
      </w:hyperlink>
      <w:r>
        <w:rPr>
          <w:lang w:val="en"/>
        </w:rPr>
        <w:t>.</w:t>
      </w:r>
    </w:p>
    <w:p w14:paraId="5706EFD1" w14:textId="0D111CD8" w:rsidR="003324D2" w:rsidRDefault="003324D2" w:rsidP="003324D2">
      <w:pPr>
        <w:pStyle w:val="ListParagraph"/>
        <w:ind w:left="0"/>
      </w:pPr>
    </w:p>
    <w:p w14:paraId="217ADC2A" w14:textId="77777777" w:rsidR="00AA02FD" w:rsidRDefault="0047401C" w:rsidP="0047401C">
      <w:pPr>
        <w:pStyle w:val="ListParagraph"/>
        <w:ind w:left="0"/>
        <w:rPr>
          <w:i/>
        </w:rPr>
      </w:pPr>
      <w:r w:rsidRPr="0047401C">
        <w:t>ACF encourages people involved in A</w:t>
      </w:r>
      <w:r w:rsidR="001D6574">
        <w:t>gency</w:t>
      </w:r>
      <w:r w:rsidRPr="0047401C">
        <w:t xml:space="preserve"> programs and those who work in the human service enterprise to follow the </w:t>
      </w:r>
      <w:hyperlink r:id="rId16" w:history="1">
        <w:r w:rsidRPr="0047401C">
          <w:rPr>
            <w:rStyle w:val="Hyperlink"/>
          </w:rPr>
          <w:t>President’s Corona</w:t>
        </w:r>
        <w:r w:rsidR="002804A3">
          <w:rPr>
            <w:rStyle w:val="Hyperlink"/>
          </w:rPr>
          <w:t>virus Guidelines for America, 30</w:t>
        </w:r>
        <w:r w:rsidRPr="0047401C">
          <w:rPr>
            <w:rStyle w:val="Hyperlink"/>
          </w:rPr>
          <w:t xml:space="preserve"> Days to Slow the Spread</w:t>
        </w:r>
      </w:hyperlink>
      <w:r w:rsidRPr="0047401C">
        <w:rPr>
          <w:i/>
        </w:rPr>
        <w:t xml:space="preserve">. </w:t>
      </w:r>
    </w:p>
    <w:p w14:paraId="3A7359C2" w14:textId="5B492E1C" w:rsidR="0047401C" w:rsidRPr="0047401C" w:rsidRDefault="0047401C" w:rsidP="0047401C">
      <w:pPr>
        <w:pStyle w:val="ListParagraph"/>
        <w:ind w:left="0"/>
      </w:pPr>
      <w:bookmarkStart w:id="0" w:name="_GoBack"/>
      <w:bookmarkEnd w:id="0"/>
      <w:r w:rsidRPr="0047401C">
        <w:t>The Guidelines advise Americans to listen to and follow the directions of state and local authorities.</w:t>
      </w:r>
    </w:p>
    <w:p w14:paraId="22780C2B" w14:textId="77777777" w:rsidR="00C62900" w:rsidRDefault="00C62900" w:rsidP="00477F70">
      <w:pPr>
        <w:pStyle w:val="ListParagraph"/>
        <w:spacing w:after="0"/>
        <w:ind w:left="2160"/>
      </w:pPr>
    </w:p>
    <w:p w14:paraId="72779C5E" w14:textId="6F187D12" w:rsidR="009B6E84" w:rsidRDefault="00477F70" w:rsidP="00022792">
      <w:pPr>
        <w:spacing w:after="0"/>
        <w:rPr>
          <w:b/>
        </w:rPr>
      </w:pPr>
      <w:r>
        <w:rPr>
          <w:b/>
        </w:rPr>
        <w:t>OFFICE OF MANAGEMENT AND BUDGET (OMB)</w:t>
      </w:r>
      <w:r w:rsidR="007E3939">
        <w:rPr>
          <w:b/>
        </w:rPr>
        <w:t xml:space="preserve"> AND </w:t>
      </w:r>
      <w:r w:rsidR="00F87F75">
        <w:rPr>
          <w:b/>
        </w:rPr>
        <w:t xml:space="preserve">ACF </w:t>
      </w:r>
      <w:r w:rsidR="00022792">
        <w:rPr>
          <w:b/>
        </w:rPr>
        <w:t>GRANT FLEXIBILITIES</w:t>
      </w:r>
      <w:r w:rsidR="008D1F92">
        <w:rPr>
          <w:b/>
        </w:rPr>
        <w:t xml:space="preserve"> </w:t>
      </w:r>
      <w:r>
        <w:rPr>
          <w:b/>
        </w:rPr>
        <w:t>RELATED</w:t>
      </w:r>
      <w:r w:rsidR="008D1F92">
        <w:rPr>
          <w:b/>
        </w:rPr>
        <w:t xml:space="preserve"> TO COVID-19</w:t>
      </w:r>
    </w:p>
    <w:p w14:paraId="1983008C" w14:textId="77777777" w:rsidR="000E4605" w:rsidRDefault="000E4605" w:rsidP="00022792">
      <w:pPr>
        <w:spacing w:after="0"/>
        <w:rPr>
          <w:b/>
        </w:rPr>
      </w:pPr>
    </w:p>
    <w:p w14:paraId="71B6BEAD" w14:textId="79B755EA" w:rsidR="00FB1338" w:rsidRPr="0041436B" w:rsidRDefault="0041436B" w:rsidP="007E0D12">
      <w:pPr>
        <w:pStyle w:val="ListParagraph"/>
        <w:numPr>
          <w:ilvl w:val="0"/>
          <w:numId w:val="11"/>
        </w:numPr>
        <w:rPr>
          <w:rStyle w:val="Hyperlink"/>
        </w:rPr>
      </w:pPr>
      <w:r>
        <w:fldChar w:fldCharType="begin"/>
      </w:r>
      <w:r>
        <w:instrText xml:space="preserve"> HYPERLINK "https://www.whitehouse.gov/wp-content/uploads/2020/03/M-20-17.pdf" </w:instrText>
      </w:r>
      <w:r>
        <w:fldChar w:fldCharType="separate"/>
      </w:r>
      <w:r w:rsidR="004F2E50" w:rsidRPr="0041436B">
        <w:rPr>
          <w:rStyle w:val="Hyperlink"/>
        </w:rPr>
        <w:t>OMB Memo 3-20-</w:t>
      </w:r>
      <w:r w:rsidR="007E0D12" w:rsidRPr="0041436B">
        <w:rPr>
          <w:rStyle w:val="Hyperlink"/>
        </w:rPr>
        <w:t>17</w:t>
      </w:r>
      <w:r w:rsidR="004F2E50" w:rsidRPr="0041436B">
        <w:rPr>
          <w:rStyle w:val="Hyperlink"/>
        </w:rPr>
        <w:t xml:space="preserve"> – </w:t>
      </w:r>
      <w:r w:rsidR="007E0D12" w:rsidRPr="0041436B">
        <w:rPr>
          <w:rStyle w:val="Hyperlink"/>
        </w:rPr>
        <w:t>Administrative Relief for Recipients and Applicants of Federal Financial Assistance Directly Impacted by the Novel Coronavirus (COVID-19) due to Loss of Operations</w:t>
      </w:r>
    </w:p>
    <w:p w14:paraId="423DAA27" w14:textId="5F092C88" w:rsidR="003819EA" w:rsidRDefault="0041436B" w:rsidP="00FD6F3B">
      <w:pPr>
        <w:pStyle w:val="ListParagraph"/>
        <w:numPr>
          <w:ilvl w:val="0"/>
          <w:numId w:val="11"/>
        </w:numPr>
      </w:pPr>
      <w:r>
        <w:fldChar w:fldCharType="end"/>
      </w:r>
      <w:hyperlink r:id="rId17" w:history="1">
        <w:r w:rsidR="0063646F">
          <w:rPr>
            <w:rStyle w:val="Hyperlink"/>
          </w:rPr>
          <w:t>ACF</w:t>
        </w:r>
        <w:r w:rsidR="00D467DE" w:rsidRPr="00D467DE">
          <w:rPr>
            <w:rStyle w:val="Hyperlink"/>
          </w:rPr>
          <w:t xml:space="preserve"> Information Memorandum:  ACF grant flexibilities in conducting human service activities related to or affected by COVID-19</w:t>
        </w:r>
      </w:hyperlink>
    </w:p>
    <w:p w14:paraId="17110165" w14:textId="51DAAD3C" w:rsidR="00FB1338" w:rsidRDefault="005936B0" w:rsidP="00FD6F3B">
      <w:pPr>
        <w:pStyle w:val="ListParagraph"/>
        <w:numPr>
          <w:ilvl w:val="0"/>
          <w:numId w:val="11"/>
        </w:numPr>
      </w:pPr>
      <w:hyperlink r:id="rId18" w:history="1">
        <w:proofErr w:type="gramStart"/>
        <w:r w:rsidR="004F2E50" w:rsidRPr="004F2E50">
          <w:rPr>
            <w:rStyle w:val="Hyperlink"/>
          </w:rPr>
          <w:t>Using Federal TANF and State MOE Funds for Families in Areas Covered by a Federal or State Disaster Declaration</w:t>
        </w:r>
      </w:hyperlink>
      <w:r w:rsidR="00363691">
        <w:t xml:space="preserve">:  </w:t>
      </w:r>
      <w:r w:rsidR="0072500D" w:rsidRPr="0072500D">
        <w:t xml:space="preserve">While OFA does not have general authority to waive TANF requirements or penalties, the HHS Secretary may not impose a penalty on </w:t>
      </w:r>
      <w:r w:rsidR="0072500D">
        <w:t xml:space="preserve">a </w:t>
      </w:r>
      <w:r w:rsidR="0072500D" w:rsidRPr="0072500D">
        <w:t>tribe operating an approved Tribal TANF program if a natural disaster’s disruptive impact was so significant as to cause the tribe’s failure to meet the requirement</w:t>
      </w:r>
      <w:r w:rsidR="00363691">
        <w:t>.</w:t>
      </w:r>
      <w:proofErr w:type="gramEnd"/>
    </w:p>
    <w:p w14:paraId="6A0B0244" w14:textId="77777777" w:rsidR="00554236" w:rsidRPr="009A7706" w:rsidRDefault="00554236" w:rsidP="00477F70">
      <w:pPr>
        <w:pStyle w:val="ListParagraph"/>
        <w:spacing w:after="0"/>
      </w:pPr>
    </w:p>
    <w:p w14:paraId="026F2AEE" w14:textId="0800F7E8" w:rsidR="00022792" w:rsidRDefault="00DF7373" w:rsidP="00477F70">
      <w:pPr>
        <w:spacing w:after="0"/>
        <w:rPr>
          <w:b/>
        </w:rPr>
      </w:pPr>
      <w:r>
        <w:rPr>
          <w:b/>
        </w:rPr>
        <w:t xml:space="preserve">ACF </w:t>
      </w:r>
      <w:r w:rsidR="00FB1338">
        <w:rPr>
          <w:b/>
        </w:rPr>
        <w:t xml:space="preserve">PROGRAM OFFICE </w:t>
      </w:r>
      <w:r w:rsidR="003819EA">
        <w:rPr>
          <w:b/>
        </w:rPr>
        <w:t>INFORMATION FOR NATIVE AMERICAN COMMUNITIES</w:t>
      </w:r>
    </w:p>
    <w:p w14:paraId="6A86F01A" w14:textId="0F15C78A" w:rsidR="00E35813" w:rsidRDefault="00E35813" w:rsidP="00E35813">
      <w:pPr>
        <w:spacing w:after="0"/>
        <w:rPr>
          <w:b/>
          <w:u w:val="single"/>
        </w:rPr>
      </w:pPr>
    </w:p>
    <w:p w14:paraId="79409413" w14:textId="2EEAD665" w:rsidR="00546BFD" w:rsidRDefault="00546BFD" w:rsidP="00546BFD">
      <w:pPr>
        <w:spacing w:after="0" w:line="240" w:lineRule="auto"/>
      </w:pPr>
      <w:r w:rsidRPr="00546BFD">
        <w:t>On March 27, 2020, the President signed the Coronavirus Aid, Relief, and Economic Security (CARES) Act. This includes $6.3 billion in additional funding for ACF to respond to coronavirus related needs. A summary of the ACF provisions</w:t>
      </w:r>
      <w:r>
        <w:t xml:space="preserve"> </w:t>
      </w:r>
      <w:proofErr w:type="gramStart"/>
      <w:r>
        <w:t>can be found</w:t>
      </w:r>
      <w:proofErr w:type="gramEnd"/>
      <w:r>
        <w:t xml:space="preserve"> </w:t>
      </w:r>
      <w:hyperlink r:id="rId19" w:history="1">
        <w:r w:rsidRPr="00546BFD">
          <w:rPr>
            <w:rStyle w:val="Hyperlink"/>
          </w:rPr>
          <w:t>here</w:t>
        </w:r>
      </w:hyperlink>
      <w:r>
        <w:t>.</w:t>
      </w:r>
    </w:p>
    <w:p w14:paraId="75E14101" w14:textId="77777777" w:rsidR="00546BFD" w:rsidRPr="00546BFD" w:rsidRDefault="00546BFD" w:rsidP="00E35813">
      <w:pPr>
        <w:spacing w:after="0"/>
      </w:pPr>
    </w:p>
    <w:p w14:paraId="55B60D2E" w14:textId="60AF6C53" w:rsidR="00A60B26" w:rsidRDefault="005936B0" w:rsidP="00E35813">
      <w:pPr>
        <w:numPr>
          <w:ilvl w:val="0"/>
          <w:numId w:val="13"/>
        </w:numPr>
        <w:spacing w:after="0"/>
        <w:rPr>
          <w:b/>
        </w:rPr>
      </w:pPr>
      <w:hyperlink r:id="rId20" w:history="1">
        <w:r w:rsidR="00E35813" w:rsidRPr="00E35813">
          <w:rPr>
            <w:rStyle w:val="Hyperlink"/>
            <w:b/>
          </w:rPr>
          <w:t>Administration for Native Americans (ANA)</w:t>
        </w:r>
      </w:hyperlink>
      <w:r w:rsidR="00E35813" w:rsidRPr="00E35813">
        <w:rPr>
          <w:b/>
        </w:rPr>
        <w:t xml:space="preserve">:  </w:t>
      </w:r>
      <w:r w:rsidR="00E35813" w:rsidRPr="00E35813">
        <w:t xml:space="preserve">ANA </w:t>
      </w:r>
      <w:r w:rsidR="00F26968">
        <w:t>is receiving</w:t>
      </w:r>
      <w:r w:rsidR="00E35813" w:rsidRPr="00E35813">
        <w:t xml:space="preserve"> requests from Native American grantees </w:t>
      </w:r>
      <w:r w:rsidR="00F26968">
        <w:t>seeking</w:t>
      </w:r>
      <w:r w:rsidR="00E35813" w:rsidRPr="00E35813">
        <w:t xml:space="preserve"> flexibility in carrying out their projects in response to COVID-19. The primary </w:t>
      </w:r>
      <w:r w:rsidR="00F26968">
        <w:t>requests include</w:t>
      </w:r>
      <w:r w:rsidR="00E35813" w:rsidRPr="00E35813">
        <w:t xml:space="preserve">: (1) </w:t>
      </w:r>
      <w:r w:rsidR="003819EA">
        <w:t xml:space="preserve">grant </w:t>
      </w:r>
      <w:r w:rsidR="00F26968">
        <w:t>modifications</w:t>
      </w:r>
      <w:r w:rsidR="00E35813" w:rsidRPr="00E35813">
        <w:t xml:space="preserve"> in response to </w:t>
      </w:r>
      <w:r w:rsidR="00F26968">
        <w:t xml:space="preserve">tribal and state declarations, including </w:t>
      </w:r>
      <w:r w:rsidR="00E35813" w:rsidRPr="00E35813">
        <w:t xml:space="preserve">school closings, </w:t>
      </w:r>
      <w:r w:rsidR="00F26968">
        <w:t xml:space="preserve">social distancing requirements, </w:t>
      </w:r>
      <w:r w:rsidR="00E35813" w:rsidRPr="00E35813">
        <w:t>telework</w:t>
      </w:r>
      <w:r w:rsidR="00F26968">
        <w:t xml:space="preserve"> flexibilities</w:t>
      </w:r>
      <w:r w:rsidR="00E35813" w:rsidRPr="00E35813">
        <w:t>, and continued compensation for project staff</w:t>
      </w:r>
      <w:proofErr w:type="gramStart"/>
      <w:r w:rsidR="00E35813" w:rsidRPr="00E35813">
        <w:t>;</w:t>
      </w:r>
      <w:proofErr w:type="gramEnd"/>
      <w:r w:rsidR="00E35813" w:rsidRPr="00E35813">
        <w:t xml:space="preserve"> and (2) requests for no</w:t>
      </w:r>
      <w:r w:rsidR="00E525E3">
        <w:t>-</w:t>
      </w:r>
      <w:r w:rsidR="00E35813" w:rsidRPr="00E35813">
        <w:t>cost extensions and/or extension of deadlines for submitting reports. Other issues include impact</w:t>
      </w:r>
      <w:r w:rsidR="003819EA">
        <w:t xml:space="preserve">s from </w:t>
      </w:r>
      <w:r w:rsidR="00E35813" w:rsidRPr="00E35813">
        <w:t xml:space="preserve">loss of </w:t>
      </w:r>
      <w:r w:rsidR="003819EA">
        <w:t xml:space="preserve">program income. </w:t>
      </w:r>
      <w:r w:rsidR="003819EA">
        <w:lastRenderedPageBreak/>
        <w:t>ANA grantees</w:t>
      </w:r>
      <w:r w:rsidR="00E35813" w:rsidRPr="00E35813">
        <w:t xml:space="preserve"> are encouraged to </w:t>
      </w:r>
      <w:r w:rsidR="00D2398F">
        <w:t>review</w:t>
      </w:r>
      <w:r w:rsidR="00D2398F" w:rsidRPr="00E35813">
        <w:t xml:space="preserve"> </w:t>
      </w:r>
      <w:r w:rsidR="00E35813" w:rsidRPr="00E35813">
        <w:t xml:space="preserve">the flexibilities for administrative, financial management, and audit requirement relief issued by ACF on </w:t>
      </w:r>
      <w:r w:rsidR="00D467DE">
        <w:t>March 30, 2020</w:t>
      </w:r>
      <w:r w:rsidR="00B84527">
        <w:t>,</w:t>
      </w:r>
      <w:r w:rsidR="00F26968">
        <w:t xml:space="preserve"> which </w:t>
      </w:r>
      <w:proofErr w:type="gramStart"/>
      <w:r w:rsidR="00F26968">
        <w:t>can be found</w:t>
      </w:r>
      <w:proofErr w:type="gramEnd"/>
      <w:r w:rsidR="00F26968">
        <w:t xml:space="preserve"> </w:t>
      </w:r>
      <w:hyperlink r:id="rId21" w:history="1">
        <w:r w:rsidR="00F26968" w:rsidRPr="00D467DE">
          <w:rPr>
            <w:rStyle w:val="Hyperlink"/>
          </w:rPr>
          <w:t>here</w:t>
        </w:r>
      </w:hyperlink>
      <w:r w:rsidR="00E35813" w:rsidRPr="00E35813">
        <w:rPr>
          <w:b/>
        </w:rPr>
        <w:t xml:space="preserve">. </w:t>
      </w:r>
    </w:p>
    <w:p w14:paraId="273E342B" w14:textId="77777777" w:rsidR="00B857A0" w:rsidRDefault="00B857A0" w:rsidP="000E4605">
      <w:pPr>
        <w:spacing w:after="0"/>
        <w:ind w:left="720"/>
        <w:rPr>
          <w:b/>
        </w:rPr>
      </w:pPr>
    </w:p>
    <w:p w14:paraId="2217391A" w14:textId="35E0CC1A" w:rsidR="00B857A0" w:rsidRPr="000E4605" w:rsidRDefault="005936B0" w:rsidP="00532709">
      <w:pPr>
        <w:numPr>
          <w:ilvl w:val="0"/>
          <w:numId w:val="13"/>
        </w:numPr>
        <w:spacing w:after="0"/>
      </w:pPr>
      <w:hyperlink r:id="rId22" w:history="1">
        <w:r w:rsidR="00B857A0" w:rsidRPr="002E56BC">
          <w:rPr>
            <w:rStyle w:val="Hyperlink"/>
            <w:b/>
          </w:rPr>
          <w:t>L</w:t>
        </w:r>
        <w:r w:rsidR="00532709" w:rsidRPr="002E56BC">
          <w:rPr>
            <w:rStyle w:val="Hyperlink"/>
            <w:b/>
          </w:rPr>
          <w:t>ow Income Home Energy Assistance Program (L</w:t>
        </w:r>
        <w:r w:rsidR="00B857A0" w:rsidRPr="002E56BC">
          <w:rPr>
            <w:rStyle w:val="Hyperlink"/>
            <w:b/>
          </w:rPr>
          <w:t>IHEAP</w:t>
        </w:r>
        <w:r w:rsidR="00532709" w:rsidRPr="002E56BC">
          <w:rPr>
            <w:rStyle w:val="Hyperlink"/>
            <w:b/>
          </w:rPr>
          <w:t>)</w:t>
        </w:r>
      </w:hyperlink>
      <w:r w:rsidR="00B857A0" w:rsidRPr="000E4605">
        <w:t>:  There are no changes to the federal LIHEAP law in light of COVID-19. As a block grant program, LIHEAP grantees normally have flexibilities in how they can change or revise their programs throughout the year to address changing needs in their communities. Each tribal grantee must decide what is approp</w:t>
      </w:r>
      <w:r w:rsidR="00532709" w:rsidRPr="000E4605">
        <w:t>riate for their own community. T</w:t>
      </w:r>
      <w:r w:rsidR="00B857A0" w:rsidRPr="000E4605">
        <w:t xml:space="preserve">ribal LIHEAP grantees </w:t>
      </w:r>
      <w:r w:rsidR="00532709" w:rsidRPr="000E4605">
        <w:t xml:space="preserve">also </w:t>
      </w:r>
      <w:r w:rsidR="00B857A0" w:rsidRPr="000E4605">
        <w:t xml:space="preserve">have broad flexibility in deciding what kinds of LIHEAP assistance to </w:t>
      </w:r>
      <w:proofErr w:type="gramStart"/>
      <w:r w:rsidR="00B857A0" w:rsidRPr="000E4605">
        <w:t>offer and how to vary the amount of assistance/benefits for each household</w:t>
      </w:r>
      <w:proofErr w:type="gramEnd"/>
      <w:r w:rsidR="00B857A0" w:rsidRPr="000E4605">
        <w:t xml:space="preserve">. During emergencies, LIHEAP grantees may </w:t>
      </w:r>
      <w:r w:rsidR="00532709" w:rsidRPr="000E4605">
        <w:t>consider</w:t>
      </w:r>
      <w:r w:rsidR="00B857A0" w:rsidRPr="000E4605">
        <w:t xml:space="preserve"> increas</w:t>
      </w:r>
      <w:r w:rsidR="00532709" w:rsidRPr="000E4605">
        <w:t>ing</w:t>
      </w:r>
      <w:r w:rsidR="00B857A0" w:rsidRPr="000E4605">
        <w:t xml:space="preserve"> the amount of benefits, or </w:t>
      </w:r>
      <w:r w:rsidR="00532709" w:rsidRPr="000E4605">
        <w:t>providing</w:t>
      </w:r>
      <w:r w:rsidR="00B857A0" w:rsidRPr="000E4605">
        <w:t xml:space="preserve"> supplement benefit payments to households that have already </w:t>
      </w:r>
      <w:r w:rsidR="00532709" w:rsidRPr="000E4605">
        <w:t>received</w:t>
      </w:r>
      <w:r w:rsidR="00B857A0" w:rsidRPr="000E4605">
        <w:t xml:space="preserve"> one LIHEAP benefit this year</w:t>
      </w:r>
      <w:r w:rsidR="00532709" w:rsidRPr="000E4605">
        <w:t>. Tribal grantee</w:t>
      </w:r>
      <w:r w:rsidR="0063272C">
        <w:t>s</w:t>
      </w:r>
      <w:r w:rsidR="00532709" w:rsidRPr="000E4605">
        <w:t xml:space="preserve"> should contact their Office of Community Services LIHEAP Program Specialist for guidance.</w:t>
      </w:r>
      <w:r w:rsidR="0063272C">
        <w:t xml:space="preserve"> The LIHEAP </w:t>
      </w:r>
      <w:r w:rsidR="0063272C" w:rsidRPr="0063272C">
        <w:rPr>
          <w:lang w:val="en"/>
        </w:rPr>
        <w:t>Initial COVID-19 Program Guidance</w:t>
      </w:r>
      <w:r w:rsidR="0063272C">
        <w:rPr>
          <w:lang w:val="en"/>
        </w:rPr>
        <w:t xml:space="preserve"> </w:t>
      </w:r>
      <w:proofErr w:type="gramStart"/>
      <w:r w:rsidR="0063272C">
        <w:t>can be found</w:t>
      </w:r>
      <w:proofErr w:type="gramEnd"/>
      <w:r w:rsidR="0063272C">
        <w:t xml:space="preserve"> </w:t>
      </w:r>
      <w:hyperlink r:id="rId23" w:history="1">
        <w:r w:rsidR="0063272C" w:rsidRPr="0063272C">
          <w:rPr>
            <w:rStyle w:val="Hyperlink"/>
          </w:rPr>
          <w:t>here</w:t>
        </w:r>
      </w:hyperlink>
      <w:r w:rsidR="0063272C">
        <w:t>.</w:t>
      </w:r>
    </w:p>
    <w:p w14:paraId="1AB43321" w14:textId="115AB2B8" w:rsidR="00E35813" w:rsidRDefault="00E35813" w:rsidP="00477F70">
      <w:pPr>
        <w:spacing w:after="0"/>
        <w:rPr>
          <w:b/>
        </w:rPr>
      </w:pPr>
    </w:p>
    <w:p w14:paraId="5AA46D55" w14:textId="77777777" w:rsidR="000243CB" w:rsidRDefault="005936B0" w:rsidP="007873A8">
      <w:pPr>
        <w:pStyle w:val="ListParagraph"/>
        <w:numPr>
          <w:ilvl w:val="0"/>
          <w:numId w:val="12"/>
        </w:numPr>
        <w:tabs>
          <w:tab w:val="left" w:pos="1800"/>
        </w:tabs>
        <w:spacing w:after="0"/>
      </w:pPr>
      <w:hyperlink r:id="rId24" w:history="1">
        <w:r w:rsidR="003C4642" w:rsidRPr="00287360">
          <w:rPr>
            <w:rStyle w:val="Hyperlink"/>
            <w:b/>
          </w:rPr>
          <w:t>Office of Child Care</w:t>
        </w:r>
      </w:hyperlink>
      <w:r w:rsidR="00710F2C" w:rsidRPr="0096446E">
        <w:t>:</w:t>
      </w:r>
      <w:r w:rsidR="003C4642">
        <w:t xml:space="preserve"> </w:t>
      </w:r>
    </w:p>
    <w:p w14:paraId="61E3F146" w14:textId="51EDD1D2" w:rsidR="000243CB" w:rsidRDefault="000243CB" w:rsidP="00A71635">
      <w:pPr>
        <w:pStyle w:val="ListParagraph"/>
        <w:numPr>
          <w:ilvl w:val="0"/>
          <w:numId w:val="18"/>
        </w:numPr>
        <w:tabs>
          <w:tab w:val="left" w:pos="1800"/>
        </w:tabs>
        <w:spacing w:after="0"/>
        <w:ind w:left="1080"/>
      </w:pPr>
      <w:proofErr w:type="gramStart"/>
      <w:r w:rsidRPr="000243CB">
        <w:rPr>
          <w:u w:val="single"/>
        </w:rPr>
        <w:t>Child Care Development Fund</w:t>
      </w:r>
      <w:r>
        <w:t xml:space="preserve">: </w:t>
      </w:r>
      <w:r w:rsidR="009B6E84" w:rsidRPr="00FB1338">
        <w:rPr>
          <w:bCs/>
        </w:rPr>
        <w:t>Lead Agencies have the</w:t>
      </w:r>
      <w:r w:rsidR="003C4642" w:rsidRPr="00FB1338">
        <w:rPr>
          <w:bCs/>
        </w:rPr>
        <w:t xml:space="preserve"> </w:t>
      </w:r>
      <w:r w:rsidR="006A099D" w:rsidRPr="00FB1338">
        <w:rPr>
          <w:lang w:val="en"/>
        </w:rPr>
        <w:t xml:space="preserve">flexibility to change </w:t>
      </w:r>
      <w:r w:rsidR="00E525E3">
        <w:rPr>
          <w:lang w:val="en"/>
        </w:rPr>
        <w:t xml:space="preserve">certain </w:t>
      </w:r>
      <w:r w:rsidR="006A099D" w:rsidRPr="00FB1338">
        <w:rPr>
          <w:lang w:val="en"/>
        </w:rPr>
        <w:t xml:space="preserve">eligibility or priority criteria to </w:t>
      </w:r>
      <w:r w:rsidR="003C4642" w:rsidRPr="00FB1338">
        <w:rPr>
          <w:lang w:val="en"/>
        </w:rPr>
        <w:t>permit uninterrupted child care</w:t>
      </w:r>
      <w:r w:rsidR="00FC0E97">
        <w:rPr>
          <w:lang w:val="en"/>
        </w:rPr>
        <w:t xml:space="preserve">, </w:t>
      </w:r>
      <w:r w:rsidR="006A099D" w:rsidRPr="00FB1338">
        <w:rPr>
          <w:bCs/>
          <w:lang w:val="en"/>
        </w:rPr>
        <w:t>to define income</w:t>
      </w:r>
      <w:r w:rsidR="00FC0E97">
        <w:rPr>
          <w:bCs/>
          <w:lang w:val="en"/>
        </w:rPr>
        <w:t>,</w:t>
      </w:r>
      <w:r w:rsidR="006A099D" w:rsidRPr="00FB1338">
        <w:rPr>
          <w:bCs/>
          <w:lang w:val="en"/>
        </w:rPr>
        <w:t xml:space="preserve"> and </w:t>
      </w:r>
      <w:r w:rsidR="00FC0E97">
        <w:rPr>
          <w:bCs/>
          <w:lang w:val="en"/>
        </w:rPr>
        <w:t xml:space="preserve">to </w:t>
      </w:r>
      <w:r w:rsidR="006A099D" w:rsidRPr="00FB1338">
        <w:rPr>
          <w:bCs/>
          <w:lang w:val="en"/>
        </w:rPr>
        <w:t xml:space="preserve">set the income threshold for purposes of </w:t>
      </w:r>
      <w:r w:rsidR="00DF7373">
        <w:rPr>
          <w:bCs/>
          <w:lang w:val="en"/>
        </w:rPr>
        <w:t>Child Care and Development Fund (</w:t>
      </w:r>
      <w:r w:rsidR="006A099D" w:rsidRPr="00FB1338">
        <w:rPr>
          <w:bCs/>
          <w:lang w:val="en"/>
        </w:rPr>
        <w:t>CCDF</w:t>
      </w:r>
      <w:r w:rsidR="00DF7373">
        <w:rPr>
          <w:bCs/>
          <w:lang w:val="en"/>
        </w:rPr>
        <w:t>)</w:t>
      </w:r>
      <w:r w:rsidR="006A099D" w:rsidRPr="00FB1338">
        <w:rPr>
          <w:bCs/>
          <w:lang w:val="en"/>
        </w:rPr>
        <w:t xml:space="preserve"> eligibility</w:t>
      </w:r>
      <w:r w:rsidR="003C4642" w:rsidRPr="00FB1338">
        <w:rPr>
          <w:bCs/>
          <w:lang w:val="en"/>
        </w:rPr>
        <w:t xml:space="preserve">; </w:t>
      </w:r>
      <w:r w:rsidR="00E525E3">
        <w:rPr>
          <w:bCs/>
          <w:lang w:val="en"/>
        </w:rPr>
        <w:t xml:space="preserve">the </w:t>
      </w:r>
      <w:r w:rsidR="006A099D" w:rsidRPr="00FB1338">
        <w:rPr>
          <w:lang w:val="en"/>
        </w:rPr>
        <w:t>option to waive family co-payment requirements for families that meet criteria established by the Lead Agency—which may include, for example, families impacted by federal or stat</w:t>
      </w:r>
      <w:r w:rsidR="003C4642" w:rsidRPr="00FB1338">
        <w:rPr>
          <w:lang w:val="en"/>
        </w:rPr>
        <w:t xml:space="preserve">e declared emergency situations; and </w:t>
      </w:r>
      <w:r w:rsidR="00FC0E97">
        <w:rPr>
          <w:bCs/>
          <w:lang w:val="en"/>
        </w:rPr>
        <w:t>the option in some cases to</w:t>
      </w:r>
      <w:r w:rsidR="00FC0E97" w:rsidRPr="00FB1338">
        <w:rPr>
          <w:bCs/>
          <w:lang w:val="en"/>
        </w:rPr>
        <w:t xml:space="preserve"> </w:t>
      </w:r>
      <w:r w:rsidR="006A099D" w:rsidRPr="00FB1338">
        <w:rPr>
          <w:bCs/>
          <w:lang w:val="en"/>
        </w:rPr>
        <w:t xml:space="preserve">use quality dollars to provide immediate assistance to impacted families, </w:t>
      </w:r>
      <w:r w:rsidR="006A099D" w:rsidRPr="006A099D">
        <w:t>including families that do not participate in CCDF</w:t>
      </w:r>
      <w:r w:rsidR="006A099D" w:rsidRPr="00FB1338">
        <w:rPr>
          <w:bCs/>
          <w:lang w:val="en"/>
        </w:rPr>
        <w:t>.</w:t>
      </w:r>
      <w:proofErr w:type="gramEnd"/>
      <w:r w:rsidR="003C4642" w:rsidRPr="00FB1338">
        <w:rPr>
          <w:bCs/>
          <w:lang w:val="en"/>
        </w:rPr>
        <w:t xml:space="preserve"> </w:t>
      </w:r>
      <w:r w:rsidR="006A099D" w:rsidRPr="006A099D">
        <w:t xml:space="preserve">Requirements differ across tribal CCDF grantees depending on size, so not all flexibilities are equally relevant to all. </w:t>
      </w:r>
    </w:p>
    <w:p w14:paraId="22680A73" w14:textId="77777777" w:rsidR="000243CB" w:rsidRDefault="000243CB" w:rsidP="00A71635">
      <w:pPr>
        <w:pStyle w:val="ListParagraph"/>
        <w:tabs>
          <w:tab w:val="left" w:pos="1800"/>
        </w:tabs>
        <w:spacing w:after="0"/>
        <w:ind w:left="1080"/>
      </w:pPr>
    </w:p>
    <w:p w14:paraId="74AFE6BF" w14:textId="00AEEEDB" w:rsidR="00486437" w:rsidRDefault="000243CB" w:rsidP="000E4605">
      <w:pPr>
        <w:pStyle w:val="ListParagraph"/>
        <w:numPr>
          <w:ilvl w:val="0"/>
          <w:numId w:val="18"/>
        </w:numPr>
        <w:tabs>
          <w:tab w:val="left" w:pos="1800"/>
        </w:tabs>
        <w:spacing w:after="0"/>
        <w:ind w:left="1080"/>
      </w:pPr>
      <w:r w:rsidRPr="000243CB">
        <w:rPr>
          <w:bCs/>
          <w:u w:val="single"/>
        </w:rPr>
        <w:t>Tribal Maternal, Infant, and Early Childhood Home Visiting (MIECHV)</w:t>
      </w:r>
      <w:r w:rsidRPr="000243CB">
        <w:rPr>
          <w:bCs/>
        </w:rPr>
        <w:t>:</w:t>
      </w:r>
      <w:r w:rsidRPr="000243CB">
        <w:t xml:space="preserve"> ACF recognizes the important supports that tribal home visitors can provide to families during this difficult time, including parenting supports, help connecting to resources, and social support for those who are isolated. Tribal MIECHV grantees have the flexibility to provide home visits virtually (either by video conference or by phone), in accordance with home visiting model developer guidance. Grantees also have the flexibility to have their staff work remotely rather than in the office. </w:t>
      </w:r>
    </w:p>
    <w:p w14:paraId="07F97424" w14:textId="5AA372DF" w:rsidR="00EA4004" w:rsidRPr="00287360" w:rsidRDefault="006A099D" w:rsidP="00F150A6">
      <w:pPr>
        <w:pStyle w:val="ListParagraph"/>
        <w:tabs>
          <w:tab w:val="left" w:pos="1800"/>
        </w:tabs>
        <w:spacing w:after="0"/>
        <w:rPr>
          <w:rStyle w:val="Hyperlink"/>
        </w:rPr>
      </w:pPr>
      <w:r w:rsidRPr="006A099D">
        <w:t xml:space="preserve"> </w:t>
      </w:r>
      <w:r w:rsidR="00287360" w:rsidRPr="00D127A1">
        <w:rPr>
          <w:b/>
          <w:u w:val="single"/>
        </w:rPr>
        <w:fldChar w:fldCharType="begin"/>
      </w:r>
      <w:r w:rsidR="002B3EFD">
        <w:rPr>
          <w:b/>
          <w:u w:val="single"/>
        </w:rPr>
        <w:instrText>HYPERLINK "https://www.acf.hhs.gov/cb"</w:instrText>
      </w:r>
      <w:r w:rsidR="00287360" w:rsidRPr="00D127A1">
        <w:rPr>
          <w:b/>
          <w:u w:val="single"/>
        </w:rPr>
        <w:fldChar w:fldCharType="separate"/>
      </w:r>
    </w:p>
    <w:p w14:paraId="55593636" w14:textId="54402EE8" w:rsidR="00A255D6" w:rsidRDefault="00257083" w:rsidP="006F202F">
      <w:pPr>
        <w:pStyle w:val="ListParagraph"/>
        <w:numPr>
          <w:ilvl w:val="0"/>
          <w:numId w:val="12"/>
        </w:numPr>
        <w:tabs>
          <w:tab w:val="left" w:pos="1800"/>
        </w:tabs>
        <w:spacing w:after="0"/>
      </w:pPr>
      <w:proofErr w:type="gramStart"/>
      <w:r w:rsidRPr="00D127A1">
        <w:rPr>
          <w:rStyle w:val="Hyperlink"/>
          <w:b/>
        </w:rPr>
        <w:t>Children’s Bureau</w:t>
      </w:r>
      <w:r w:rsidR="00287360" w:rsidRPr="00D127A1">
        <w:rPr>
          <w:b/>
          <w:u w:val="single"/>
        </w:rPr>
        <w:fldChar w:fldCharType="end"/>
      </w:r>
      <w:r w:rsidR="003C4642" w:rsidRPr="00D127A1">
        <w:rPr>
          <w:b/>
        </w:rPr>
        <w:t>:</w:t>
      </w:r>
      <w:r w:rsidRPr="00637C57">
        <w:t xml:space="preserve"> </w:t>
      </w:r>
      <w:r w:rsidR="00477F70">
        <w:t xml:space="preserve"> </w:t>
      </w:r>
      <w:r w:rsidR="00D127A1">
        <w:t xml:space="preserve">The Children’s Bureau issued a letter to </w:t>
      </w:r>
      <w:r w:rsidR="00D127A1" w:rsidRPr="00D127A1">
        <w:t>Child Welfare Leaders</w:t>
      </w:r>
      <w:r w:rsidR="00D127A1">
        <w:t xml:space="preserve"> on March 18, 2020 that addresses: (1) requirements for case worker visits to children in </w:t>
      </w:r>
      <w:r w:rsidR="00554236" w:rsidRPr="00554236">
        <w:t>foster care</w:t>
      </w:r>
      <w:r w:rsidR="00D127A1">
        <w:t xml:space="preserve">; (2) Program Improvement Plans </w:t>
      </w:r>
      <w:r w:rsidR="00554236" w:rsidRPr="00554236">
        <w:t>developed to address the results of a Child and Family Services Review</w:t>
      </w:r>
      <w:r w:rsidR="00D127A1">
        <w:t xml:space="preserve">; (3) </w:t>
      </w:r>
      <w:r w:rsidR="00E525E3">
        <w:t xml:space="preserve">the </w:t>
      </w:r>
      <w:r w:rsidR="00554236" w:rsidRPr="00554236">
        <w:t>onsite Title IV-E Eligibility Review</w:t>
      </w:r>
      <w:r w:rsidR="00D127A1">
        <w:t xml:space="preserve">; (4) </w:t>
      </w:r>
      <w:r w:rsidR="00D127A1" w:rsidRPr="00D127A1">
        <w:t>c</w:t>
      </w:r>
      <w:r w:rsidR="00554236" w:rsidRPr="00D127A1">
        <w:rPr>
          <w:bCs/>
        </w:rPr>
        <w:t xml:space="preserve">hild </w:t>
      </w:r>
      <w:r w:rsidR="00D127A1" w:rsidRPr="00D127A1">
        <w:rPr>
          <w:bCs/>
        </w:rPr>
        <w:t>abuse and neglect i</w:t>
      </w:r>
      <w:r w:rsidR="00554236" w:rsidRPr="00D127A1">
        <w:rPr>
          <w:bCs/>
        </w:rPr>
        <w:t>nvestigations</w:t>
      </w:r>
      <w:r w:rsidR="00D127A1" w:rsidRPr="00D127A1">
        <w:rPr>
          <w:bCs/>
        </w:rPr>
        <w:t xml:space="preserve">; </w:t>
      </w:r>
      <w:r w:rsidR="00D127A1">
        <w:rPr>
          <w:bCs/>
        </w:rPr>
        <w:t xml:space="preserve">and </w:t>
      </w:r>
      <w:r w:rsidR="00D127A1" w:rsidRPr="00D127A1">
        <w:rPr>
          <w:bCs/>
        </w:rPr>
        <w:t>(5)</w:t>
      </w:r>
      <w:r w:rsidR="00D127A1">
        <w:rPr>
          <w:b/>
          <w:bCs/>
        </w:rPr>
        <w:t xml:space="preserve"> </w:t>
      </w:r>
      <w:r w:rsidR="00D127A1">
        <w:rPr>
          <w:bCs/>
        </w:rPr>
        <w:t>other legislative and regulatory f</w:t>
      </w:r>
      <w:r w:rsidR="00D127A1" w:rsidRPr="00D127A1">
        <w:rPr>
          <w:bCs/>
        </w:rPr>
        <w:t>lexibility</w:t>
      </w:r>
      <w:r w:rsidR="00D127A1" w:rsidRPr="00D127A1">
        <w:rPr>
          <w:b/>
          <w:bCs/>
        </w:rPr>
        <w:t xml:space="preserve"> </w:t>
      </w:r>
      <w:r w:rsidR="00D127A1">
        <w:t>requirements.</w:t>
      </w:r>
      <w:proofErr w:type="gramEnd"/>
      <w:r w:rsidR="00D127A1">
        <w:t xml:space="preserve"> </w:t>
      </w:r>
      <w:r w:rsidR="00F607D8">
        <w:t xml:space="preserve">The letter to Child Welfare Leaders is available </w:t>
      </w:r>
      <w:hyperlink r:id="rId25" w:history="1">
        <w:r w:rsidR="00F607D8" w:rsidRPr="00F607D8">
          <w:rPr>
            <w:rStyle w:val="Hyperlink"/>
          </w:rPr>
          <w:t>here</w:t>
        </w:r>
      </w:hyperlink>
      <w:r w:rsidR="00F607D8">
        <w:t>.</w:t>
      </w:r>
      <w:r w:rsidR="00D610A4">
        <w:t xml:space="preserve">  Additional information and resources for state and tribal child welfare professionals relating to COVID-19 are available </w:t>
      </w:r>
      <w:hyperlink r:id="rId26" w:history="1">
        <w:r w:rsidR="00D610A4" w:rsidRPr="00D610A4">
          <w:rPr>
            <w:rStyle w:val="Hyperlink"/>
          </w:rPr>
          <w:t>here</w:t>
        </w:r>
      </w:hyperlink>
      <w:r w:rsidR="00D610A4">
        <w:t>.</w:t>
      </w:r>
    </w:p>
    <w:p w14:paraId="11CB50E7" w14:textId="77777777" w:rsidR="00A255D6" w:rsidRDefault="00A255D6" w:rsidP="00A255D6">
      <w:pPr>
        <w:pStyle w:val="ListParagraph"/>
      </w:pPr>
    </w:p>
    <w:p w14:paraId="0BCBEDE1" w14:textId="76647F19" w:rsidR="00F150A6" w:rsidRDefault="005936B0" w:rsidP="00824C5E">
      <w:pPr>
        <w:pStyle w:val="ListParagraph"/>
        <w:numPr>
          <w:ilvl w:val="0"/>
          <w:numId w:val="12"/>
        </w:numPr>
        <w:tabs>
          <w:tab w:val="left" w:pos="1800"/>
        </w:tabs>
        <w:spacing w:after="0"/>
      </w:pPr>
      <w:hyperlink r:id="rId27" w:history="1">
        <w:r w:rsidR="00257083" w:rsidRPr="00824C5E">
          <w:rPr>
            <w:rStyle w:val="Hyperlink"/>
            <w:b/>
          </w:rPr>
          <w:t xml:space="preserve">Office of </w:t>
        </w:r>
        <w:r w:rsidR="00E354A7">
          <w:rPr>
            <w:rStyle w:val="Hyperlink"/>
            <w:b/>
          </w:rPr>
          <w:t>Family</w:t>
        </w:r>
        <w:r w:rsidR="00257083" w:rsidRPr="00824C5E">
          <w:rPr>
            <w:rStyle w:val="Hyperlink"/>
            <w:b/>
          </w:rPr>
          <w:t xml:space="preserve"> Assistance</w:t>
        </w:r>
        <w:r w:rsidR="003C4642" w:rsidRPr="00824C5E">
          <w:rPr>
            <w:rStyle w:val="Hyperlink"/>
            <w:b/>
          </w:rPr>
          <w:t xml:space="preserve"> (OFA)</w:t>
        </w:r>
      </w:hyperlink>
      <w:r w:rsidR="00257083">
        <w:t xml:space="preserve">:  </w:t>
      </w:r>
      <w:r w:rsidR="00824C5E">
        <w:t xml:space="preserve">OFA released </w:t>
      </w:r>
      <w:r w:rsidR="008057EF">
        <w:t xml:space="preserve">a </w:t>
      </w:r>
      <w:r w:rsidR="00824C5E">
        <w:t xml:space="preserve">Program Instruction (PI) </w:t>
      </w:r>
      <w:r w:rsidR="00F607D8">
        <w:t xml:space="preserve">to </w:t>
      </w:r>
      <w:r w:rsidR="00F607D8" w:rsidRPr="00F607D8">
        <w:rPr>
          <w:lang w:val="en"/>
        </w:rPr>
        <w:t xml:space="preserve">State </w:t>
      </w:r>
      <w:r w:rsidR="00F607D8">
        <w:rPr>
          <w:lang w:val="en"/>
        </w:rPr>
        <w:t>and territorial A</w:t>
      </w:r>
      <w:r w:rsidR="00F607D8" w:rsidRPr="00F607D8">
        <w:rPr>
          <w:lang w:val="en"/>
        </w:rPr>
        <w:t xml:space="preserve">gencies </w:t>
      </w:r>
      <w:r w:rsidR="00F607D8">
        <w:rPr>
          <w:lang w:val="en"/>
        </w:rPr>
        <w:t>and Tribal A</w:t>
      </w:r>
      <w:r w:rsidR="00F607D8" w:rsidRPr="00F607D8">
        <w:rPr>
          <w:lang w:val="en"/>
        </w:rPr>
        <w:t>gencies administering the Temporary Assistance for Needy Families (TANF) Program</w:t>
      </w:r>
      <w:r w:rsidR="00F607D8">
        <w:t xml:space="preserve"> on </w:t>
      </w:r>
      <w:r w:rsidR="00824C5E">
        <w:t>March 24, 2020</w:t>
      </w:r>
      <w:r w:rsidR="00F607D8">
        <w:t xml:space="preserve">. </w:t>
      </w:r>
      <w:r w:rsidR="00824C5E">
        <w:t>Th</w:t>
      </w:r>
      <w:r w:rsidR="00F607D8">
        <w:t xml:space="preserve">e PI addresses TANF’s administrative flexibilities for states and tribes and </w:t>
      </w:r>
      <w:r w:rsidR="00824C5E">
        <w:t xml:space="preserve">includes questions and answers about how state and tribal grantees might use TANF to </w:t>
      </w:r>
      <w:r w:rsidR="00F607D8">
        <w:t>address COVID-19</w:t>
      </w:r>
      <w:r w:rsidR="00824C5E">
        <w:t xml:space="preserve">. </w:t>
      </w:r>
      <w:r w:rsidR="00F607D8">
        <w:t xml:space="preserve">The OFA PI is available </w:t>
      </w:r>
      <w:hyperlink r:id="rId28" w:history="1">
        <w:r w:rsidR="00F607D8" w:rsidRPr="00F607D8">
          <w:rPr>
            <w:rStyle w:val="Hyperlink"/>
          </w:rPr>
          <w:t>here</w:t>
        </w:r>
      </w:hyperlink>
      <w:r w:rsidR="00F607D8">
        <w:t>.</w:t>
      </w:r>
    </w:p>
    <w:p w14:paraId="345CEBF4" w14:textId="77777777" w:rsidR="00824C5E" w:rsidRDefault="00824C5E" w:rsidP="00824C5E">
      <w:pPr>
        <w:pStyle w:val="ListParagraph"/>
        <w:tabs>
          <w:tab w:val="left" w:pos="1800"/>
        </w:tabs>
        <w:spacing w:after="0"/>
      </w:pPr>
    </w:p>
    <w:p w14:paraId="6CFE047C" w14:textId="7F6F1131" w:rsidR="006F202F" w:rsidRDefault="005936B0" w:rsidP="0063272C">
      <w:pPr>
        <w:pStyle w:val="ListParagraph"/>
        <w:numPr>
          <w:ilvl w:val="0"/>
          <w:numId w:val="13"/>
        </w:numPr>
        <w:tabs>
          <w:tab w:val="left" w:pos="1800"/>
        </w:tabs>
        <w:spacing w:after="0"/>
      </w:pPr>
      <w:hyperlink r:id="rId29" w:history="1">
        <w:r w:rsidR="003C4642" w:rsidRPr="001E3BCA">
          <w:rPr>
            <w:rStyle w:val="Hyperlink"/>
            <w:b/>
          </w:rPr>
          <w:t>Office of Head Start (OHS)</w:t>
        </w:r>
      </w:hyperlink>
      <w:r w:rsidR="006A7E51">
        <w:t xml:space="preserve">:  </w:t>
      </w:r>
      <w:r w:rsidR="00B857A0" w:rsidRPr="00B857A0">
        <w:t>OHS has directed programs to continue to pay wages and provide benefits for staff unable to report to work during center closures necessary to address COVID-19. This flexibility remains in effect through April 30, 2020</w:t>
      </w:r>
      <w:r w:rsidR="00B84527">
        <w:t>,</w:t>
      </w:r>
      <w:r w:rsidR="00B857A0" w:rsidRPr="00B857A0">
        <w:t xml:space="preserve"> unless further extended by OHS.  During center closures, employees should continue to engage families and to deliver services to the extent possible, remotely. Head Start and Early Head Start programs may provide meals and snacks to children during center closures. Communications </w:t>
      </w:r>
      <w:r w:rsidR="00E525E3">
        <w:t>regarding</w:t>
      </w:r>
      <w:r w:rsidR="00E525E3" w:rsidRPr="00B857A0">
        <w:t xml:space="preserve"> </w:t>
      </w:r>
      <w:r w:rsidR="00B857A0" w:rsidRPr="00B857A0">
        <w:t xml:space="preserve">OHS </w:t>
      </w:r>
      <w:r w:rsidR="00E525E3">
        <w:t>c</w:t>
      </w:r>
      <w:r w:rsidR="00B857A0">
        <w:t>oronavirus prevention and response</w:t>
      </w:r>
      <w:r w:rsidR="00B857A0" w:rsidRPr="00B857A0">
        <w:t xml:space="preserve"> are </w:t>
      </w:r>
      <w:r w:rsidR="00B84527">
        <w:t xml:space="preserve">available </w:t>
      </w:r>
      <w:hyperlink r:id="rId30" w:history="1">
        <w:r w:rsidR="00B857A0" w:rsidRPr="00B857A0">
          <w:rPr>
            <w:rStyle w:val="Hyperlink"/>
          </w:rPr>
          <w:t>here</w:t>
        </w:r>
      </w:hyperlink>
      <w:r w:rsidR="00B857A0">
        <w:t>.</w:t>
      </w:r>
    </w:p>
    <w:p w14:paraId="62F39470" w14:textId="77777777" w:rsidR="00EC6026" w:rsidRPr="00F150A6" w:rsidRDefault="00EC6026" w:rsidP="00EC6026">
      <w:pPr>
        <w:pStyle w:val="ListParagraph"/>
        <w:tabs>
          <w:tab w:val="left" w:pos="1800"/>
        </w:tabs>
        <w:spacing w:after="0"/>
      </w:pPr>
    </w:p>
    <w:p w14:paraId="639B5CA7" w14:textId="24A63CC7" w:rsidR="00480C16" w:rsidRPr="00A71635" w:rsidRDefault="005936B0" w:rsidP="009B7A9D">
      <w:pPr>
        <w:pStyle w:val="ListParagraph"/>
        <w:numPr>
          <w:ilvl w:val="0"/>
          <w:numId w:val="13"/>
        </w:numPr>
        <w:spacing w:after="0"/>
        <w:rPr>
          <w:b/>
          <w:u w:val="single"/>
        </w:rPr>
      </w:pPr>
      <w:hyperlink r:id="rId31" w:history="1">
        <w:r w:rsidR="00022792" w:rsidRPr="009B7A9D">
          <w:rPr>
            <w:rStyle w:val="Hyperlink"/>
            <w:b/>
          </w:rPr>
          <w:t>Family Violence Prevention and Services Ac</w:t>
        </w:r>
        <w:r w:rsidR="00A255D6">
          <w:rPr>
            <w:rStyle w:val="Hyperlink"/>
            <w:b/>
          </w:rPr>
          <w:t>t (FVPSA)</w:t>
        </w:r>
      </w:hyperlink>
      <w:r w:rsidR="00022792">
        <w:t xml:space="preserve">: </w:t>
      </w:r>
      <w:r w:rsidR="00DF7373">
        <w:t xml:space="preserve"> </w:t>
      </w:r>
      <w:r w:rsidR="009B7A9D" w:rsidRPr="009B7A9D">
        <w:t xml:space="preserve">The FVPSA program recognizes the need for funding flexibilities and continuity of operations for all domestic violence shelters, state domestic violence coalitions and tribes, including the national domestic violence hotline and the </w:t>
      </w:r>
      <w:proofErr w:type="spellStart"/>
      <w:r w:rsidR="009B7A9D" w:rsidRPr="009B7A9D">
        <w:t>StrongHearts</w:t>
      </w:r>
      <w:proofErr w:type="spellEnd"/>
      <w:r w:rsidR="009B7A9D" w:rsidRPr="009B7A9D">
        <w:t xml:space="preserve"> Native Helpline. FVPSA </w:t>
      </w:r>
      <w:r w:rsidR="008057EF">
        <w:t>anticipates issuing</w:t>
      </w:r>
      <w:r w:rsidR="009B7A9D" w:rsidRPr="009B7A9D">
        <w:t xml:space="preserve"> program guidance to domestic violence programs regarding COVID-19. Guidance will include questions and answers regarding flexibilities for FVPSA</w:t>
      </w:r>
      <w:r w:rsidR="008057EF">
        <w:t>-</w:t>
      </w:r>
      <w:r w:rsidR="009B7A9D" w:rsidRPr="009B7A9D">
        <w:t xml:space="preserve">funded programs. FVPSA </w:t>
      </w:r>
      <w:proofErr w:type="gramStart"/>
      <w:r w:rsidR="009B7A9D" w:rsidRPr="009B7A9D">
        <w:t>is mandated</w:t>
      </w:r>
      <w:proofErr w:type="gramEnd"/>
      <w:r w:rsidR="009B7A9D" w:rsidRPr="009B7A9D">
        <w:t xml:space="preserve"> to allocate 10% of its appropriation to Tribes and Tribal organizations. For FY 2018 and 2019, Congress increased the appropriations to supplement existing funding for American Indian/Alaskan Native Tribes. For FY 2019, the total amount of funding provided was $20,170,060 funding 252 tribes and tribal organizations.</w:t>
      </w:r>
    </w:p>
    <w:p w14:paraId="21958DBC" w14:textId="77777777" w:rsidR="00A255D6" w:rsidRPr="00A255D6" w:rsidRDefault="00A255D6" w:rsidP="00A255D6">
      <w:pPr>
        <w:pStyle w:val="ListParagraph"/>
        <w:spacing w:after="0"/>
        <w:rPr>
          <w:b/>
          <w:u w:val="single"/>
        </w:rPr>
      </w:pPr>
    </w:p>
    <w:p w14:paraId="4CF05BDA" w14:textId="3BE62AC4" w:rsidR="0063646F" w:rsidRDefault="005936B0" w:rsidP="00953A91">
      <w:pPr>
        <w:pStyle w:val="ListParagraph"/>
        <w:numPr>
          <w:ilvl w:val="0"/>
          <w:numId w:val="13"/>
        </w:numPr>
      </w:pPr>
      <w:hyperlink r:id="rId32" w:history="1">
        <w:r w:rsidR="00E35813" w:rsidRPr="00E35813">
          <w:rPr>
            <w:rStyle w:val="Hyperlink"/>
            <w:b/>
          </w:rPr>
          <w:t xml:space="preserve">Family and Youth Services Bureau </w:t>
        </w:r>
        <w:r w:rsidR="00E35813">
          <w:rPr>
            <w:rStyle w:val="Hyperlink"/>
            <w:b/>
          </w:rPr>
          <w:t xml:space="preserve">(FYSB) </w:t>
        </w:r>
        <w:r w:rsidR="00E35813" w:rsidRPr="00E35813">
          <w:rPr>
            <w:rStyle w:val="Hyperlink"/>
            <w:b/>
          </w:rPr>
          <w:t xml:space="preserve">– </w:t>
        </w:r>
        <w:r w:rsidR="00A71635" w:rsidRPr="00E35813">
          <w:rPr>
            <w:rStyle w:val="Hyperlink"/>
            <w:b/>
          </w:rPr>
          <w:t xml:space="preserve">National Runaway </w:t>
        </w:r>
        <w:proofErr w:type="spellStart"/>
        <w:r w:rsidR="00A71635" w:rsidRPr="00E35813">
          <w:rPr>
            <w:rStyle w:val="Hyperlink"/>
            <w:b/>
          </w:rPr>
          <w:t>Safelin</w:t>
        </w:r>
        <w:r w:rsidR="00E35813">
          <w:rPr>
            <w:rStyle w:val="Hyperlink"/>
            <w:b/>
          </w:rPr>
          <w:t>e</w:t>
        </w:r>
        <w:proofErr w:type="spellEnd"/>
        <w:r w:rsidR="00E35813">
          <w:rPr>
            <w:rStyle w:val="Hyperlink"/>
            <w:b/>
          </w:rPr>
          <w:t xml:space="preserve"> (NRS)</w:t>
        </w:r>
      </w:hyperlink>
      <w:r w:rsidR="00E35813">
        <w:t xml:space="preserve">:  NRS is a </w:t>
      </w:r>
      <w:r w:rsidR="00A71635" w:rsidRPr="00A255D6">
        <w:t>FYSB funded project to provide a communication system for runaway and homeless youth and their families</w:t>
      </w:r>
      <w:r w:rsidR="00E35813">
        <w:t>.</w:t>
      </w:r>
      <w:r w:rsidR="00A71635" w:rsidRPr="00A255D6">
        <w:t xml:space="preserve"> NRS will continue to provide crisis intervention services, support and access to local resources to youth ages 12 to 21 and their families through their hotline, 1-800-RUNAWAY (786-2929) and live chat, emails and forums at </w:t>
      </w:r>
      <w:hyperlink r:id="rId33" w:history="1">
        <w:r w:rsidR="00A71635" w:rsidRPr="00E35813">
          <w:rPr>
            <w:rStyle w:val="Hyperlink"/>
            <w:b/>
          </w:rPr>
          <w:t>1800RUNAWAY.org</w:t>
        </w:r>
      </w:hyperlink>
      <w:r w:rsidR="00A71635" w:rsidRPr="00A255D6">
        <w:t>.</w:t>
      </w:r>
      <w:r w:rsidR="0063646F" w:rsidRPr="0063646F">
        <w:t xml:space="preserve"> </w:t>
      </w:r>
    </w:p>
    <w:p w14:paraId="0803811D" w14:textId="77777777" w:rsidR="0063646F" w:rsidRDefault="0063646F" w:rsidP="0063646F">
      <w:pPr>
        <w:pStyle w:val="ListParagraph"/>
        <w:ind w:left="0"/>
      </w:pPr>
    </w:p>
    <w:p w14:paraId="3C009C5A" w14:textId="77777777" w:rsidR="0063646F" w:rsidRDefault="0063646F" w:rsidP="0063646F">
      <w:pPr>
        <w:pStyle w:val="ListParagraph"/>
        <w:spacing w:after="0"/>
        <w:ind w:left="0"/>
        <w:rPr>
          <w:b/>
        </w:rPr>
      </w:pPr>
      <w:r w:rsidRPr="00682337">
        <w:rPr>
          <w:b/>
        </w:rPr>
        <w:t>ABOUT COVID-19</w:t>
      </w:r>
    </w:p>
    <w:p w14:paraId="7E7B0095" w14:textId="77777777" w:rsidR="0063646F" w:rsidRPr="00682337" w:rsidRDefault="0063646F" w:rsidP="0063646F">
      <w:pPr>
        <w:pStyle w:val="ListParagraph"/>
        <w:spacing w:after="0"/>
        <w:ind w:left="0"/>
        <w:rPr>
          <w:b/>
        </w:rPr>
      </w:pPr>
    </w:p>
    <w:p w14:paraId="4FD256CE" w14:textId="77777777" w:rsidR="0063646F" w:rsidRDefault="0063646F" w:rsidP="0063646F">
      <w:pPr>
        <w:pStyle w:val="ListParagraph"/>
        <w:numPr>
          <w:ilvl w:val="0"/>
          <w:numId w:val="15"/>
        </w:numPr>
        <w:ind w:left="720"/>
      </w:pPr>
      <w:r>
        <w:t xml:space="preserve">The </w:t>
      </w:r>
      <w:hyperlink r:id="rId34" w:history="1">
        <w:r w:rsidRPr="006B7C2E">
          <w:rPr>
            <w:rStyle w:val="Hyperlink"/>
          </w:rPr>
          <w:t>Centers for Disease Contro</w:t>
        </w:r>
        <w:r>
          <w:rPr>
            <w:rStyle w:val="Hyperlink"/>
          </w:rPr>
          <w:t>l and Prevention</w:t>
        </w:r>
      </w:hyperlink>
      <w:r>
        <w:t xml:space="preserve"> (CDC) provides information on the symptoms of COVID-19 and the emergency warning signs for seeking medical attention. CDC also provides specific guidance for:</w:t>
      </w:r>
    </w:p>
    <w:p w14:paraId="5358EE48" w14:textId="77777777" w:rsidR="0063646F" w:rsidRDefault="0063646F" w:rsidP="0063646F">
      <w:pPr>
        <w:pStyle w:val="ListParagraph"/>
      </w:pPr>
    </w:p>
    <w:p w14:paraId="15BA2B02" w14:textId="77777777" w:rsidR="0063646F" w:rsidRDefault="005936B0" w:rsidP="0063646F">
      <w:pPr>
        <w:pStyle w:val="ListParagraph"/>
        <w:numPr>
          <w:ilvl w:val="2"/>
          <w:numId w:val="3"/>
        </w:numPr>
        <w:ind w:left="1080"/>
      </w:pPr>
      <w:hyperlink r:id="rId35" w:history="1">
        <w:r w:rsidR="0063646F" w:rsidRPr="00630A74">
          <w:rPr>
            <w:rStyle w:val="Hyperlink"/>
          </w:rPr>
          <w:t>Older adults</w:t>
        </w:r>
      </w:hyperlink>
    </w:p>
    <w:p w14:paraId="22109FF4" w14:textId="77777777" w:rsidR="0063646F" w:rsidRDefault="005936B0" w:rsidP="0063646F">
      <w:pPr>
        <w:pStyle w:val="ListParagraph"/>
        <w:numPr>
          <w:ilvl w:val="2"/>
          <w:numId w:val="3"/>
        </w:numPr>
        <w:ind w:left="1080"/>
      </w:pPr>
      <w:hyperlink r:id="rId36" w:history="1">
        <w:r w:rsidR="0063646F" w:rsidRPr="00630A74">
          <w:rPr>
            <w:rStyle w:val="Hyperlink"/>
          </w:rPr>
          <w:t>Pregnant women</w:t>
        </w:r>
      </w:hyperlink>
    </w:p>
    <w:p w14:paraId="72D51E44" w14:textId="77777777" w:rsidR="0063646F" w:rsidRDefault="005936B0" w:rsidP="0063646F">
      <w:pPr>
        <w:pStyle w:val="ListParagraph"/>
        <w:numPr>
          <w:ilvl w:val="2"/>
          <w:numId w:val="3"/>
        </w:numPr>
        <w:ind w:left="1080"/>
      </w:pPr>
      <w:hyperlink r:id="rId37" w:history="1">
        <w:r w:rsidR="0063646F" w:rsidRPr="00630A74">
          <w:rPr>
            <w:rStyle w:val="Hyperlink"/>
          </w:rPr>
          <w:t>Schools and childcare programs</w:t>
        </w:r>
      </w:hyperlink>
    </w:p>
    <w:p w14:paraId="74F7139B" w14:textId="77777777" w:rsidR="0063646F" w:rsidRDefault="005936B0" w:rsidP="0063646F">
      <w:pPr>
        <w:pStyle w:val="ListParagraph"/>
        <w:numPr>
          <w:ilvl w:val="2"/>
          <w:numId w:val="3"/>
        </w:numPr>
        <w:ind w:left="1080"/>
      </w:pPr>
      <w:hyperlink r:id="rId38" w:history="1">
        <w:r w:rsidR="0063646F" w:rsidRPr="00630A74">
          <w:rPr>
            <w:rStyle w:val="Hyperlink"/>
          </w:rPr>
          <w:t>First responders and law enforcement</w:t>
        </w:r>
      </w:hyperlink>
    </w:p>
    <w:p w14:paraId="45B819B8" w14:textId="77777777" w:rsidR="0063646F" w:rsidRPr="000E4605" w:rsidRDefault="005936B0" w:rsidP="0063646F">
      <w:pPr>
        <w:pStyle w:val="ListParagraph"/>
        <w:numPr>
          <w:ilvl w:val="2"/>
          <w:numId w:val="3"/>
        </w:numPr>
        <w:ind w:left="1080"/>
        <w:rPr>
          <w:rStyle w:val="Hyperlink"/>
          <w:color w:val="auto"/>
          <w:u w:val="none"/>
        </w:rPr>
      </w:pPr>
      <w:hyperlink r:id="rId39" w:history="1">
        <w:r w:rsidR="0063646F" w:rsidRPr="00630A74">
          <w:rPr>
            <w:rStyle w:val="Hyperlink"/>
          </w:rPr>
          <w:t>Resources for your home</w:t>
        </w:r>
      </w:hyperlink>
    </w:p>
    <w:p w14:paraId="42BF7DC9" w14:textId="77777777" w:rsidR="0063646F" w:rsidRDefault="005936B0" w:rsidP="0063646F">
      <w:pPr>
        <w:pStyle w:val="ListParagraph"/>
        <w:numPr>
          <w:ilvl w:val="2"/>
          <w:numId w:val="3"/>
        </w:numPr>
        <w:ind w:left="1080"/>
      </w:pPr>
      <w:hyperlink r:id="rId40" w:history="1">
        <w:r w:rsidR="0063646F" w:rsidRPr="006D0E47">
          <w:rPr>
            <w:rStyle w:val="Hyperlink"/>
          </w:rPr>
          <w:t>Community</w:t>
        </w:r>
        <w:r w:rsidR="0063646F">
          <w:rPr>
            <w:rStyle w:val="Hyperlink"/>
          </w:rPr>
          <w:t>- and Faith-B</w:t>
        </w:r>
        <w:r w:rsidR="0063646F" w:rsidRPr="006D0E47">
          <w:rPr>
            <w:rStyle w:val="Hyperlink"/>
          </w:rPr>
          <w:t>ased Leaders</w:t>
        </w:r>
      </w:hyperlink>
    </w:p>
    <w:p w14:paraId="47496EF9" w14:textId="77777777" w:rsidR="0063646F" w:rsidRDefault="005936B0" w:rsidP="0063646F">
      <w:pPr>
        <w:pStyle w:val="ListParagraph"/>
        <w:numPr>
          <w:ilvl w:val="2"/>
          <w:numId w:val="3"/>
        </w:numPr>
        <w:ind w:left="1080"/>
      </w:pPr>
      <w:hyperlink r:id="rId41" w:history="1">
        <w:r w:rsidR="0063646F">
          <w:rPr>
            <w:rStyle w:val="Hyperlink"/>
          </w:rPr>
          <w:t>Business and e</w:t>
        </w:r>
        <w:r w:rsidR="0063646F" w:rsidRPr="005141CF">
          <w:rPr>
            <w:rStyle w:val="Hyperlink"/>
          </w:rPr>
          <w:t>mployers</w:t>
        </w:r>
      </w:hyperlink>
    </w:p>
    <w:p w14:paraId="67330FF6" w14:textId="77777777" w:rsidR="0063646F" w:rsidRDefault="005936B0" w:rsidP="0063646F">
      <w:pPr>
        <w:pStyle w:val="ListParagraph"/>
        <w:numPr>
          <w:ilvl w:val="2"/>
          <w:numId w:val="3"/>
        </w:numPr>
        <w:ind w:left="1080"/>
      </w:pPr>
      <w:hyperlink r:id="rId42" w:history="1">
        <w:r w:rsidR="0063646F">
          <w:rPr>
            <w:rStyle w:val="Hyperlink"/>
          </w:rPr>
          <w:t>Anxiety and s</w:t>
        </w:r>
        <w:r w:rsidR="0063646F" w:rsidRPr="00C92DC4">
          <w:rPr>
            <w:rStyle w:val="Hyperlink"/>
          </w:rPr>
          <w:t>tress</w:t>
        </w:r>
      </w:hyperlink>
    </w:p>
    <w:p w14:paraId="2CF8317A" w14:textId="77777777" w:rsidR="0063646F" w:rsidRDefault="0063646F" w:rsidP="0063646F">
      <w:pPr>
        <w:pStyle w:val="ListParagraph"/>
        <w:ind w:left="0"/>
      </w:pPr>
    </w:p>
    <w:p w14:paraId="1EE44DEA" w14:textId="77777777" w:rsidR="00572716" w:rsidRDefault="00572716" w:rsidP="0063646F">
      <w:pPr>
        <w:pStyle w:val="ListParagraph"/>
        <w:ind w:left="0" w:firstLine="360"/>
      </w:pPr>
    </w:p>
    <w:p w14:paraId="488ED862" w14:textId="6B1850E5" w:rsidR="0063646F" w:rsidRDefault="0063646F" w:rsidP="0063646F">
      <w:pPr>
        <w:pStyle w:val="ListParagraph"/>
        <w:ind w:left="0" w:firstLine="360"/>
      </w:pPr>
      <w:r>
        <w:t>Other federal and national tribal COVID-19 resources include:</w:t>
      </w:r>
    </w:p>
    <w:p w14:paraId="2B0FF0E2" w14:textId="77777777" w:rsidR="0063646F" w:rsidRDefault="0063646F" w:rsidP="0063646F">
      <w:pPr>
        <w:pStyle w:val="ListParagraph"/>
        <w:ind w:left="0" w:firstLine="360"/>
      </w:pPr>
    </w:p>
    <w:p w14:paraId="1D98DA4E" w14:textId="77777777" w:rsidR="0063646F" w:rsidRDefault="005936B0" w:rsidP="0063646F">
      <w:pPr>
        <w:pStyle w:val="ListParagraph"/>
        <w:numPr>
          <w:ilvl w:val="1"/>
          <w:numId w:val="14"/>
        </w:numPr>
        <w:spacing w:after="0"/>
        <w:ind w:left="720"/>
      </w:pPr>
      <w:hyperlink r:id="rId43" w:history="1">
        <w:r w:rsidR="0063646F" w:rsidRPr="00BA5188">
          <w:rPr>
            <w:rStyle w:val="Hyperlink"/>
          </w:rPr>
          <w:t>Coronavirus (COVID-19)</w:t>
        </w:r>
      </w:hyperlink>
    </w:p>
    <w:p w14:paraId="0BFBB1C3" w14:textId="77777777" w:rsidR="0063646F" w:rsidRDefault="005936B0" w:rsidP="0063646F">
      <w:pPr>
        <w:pStyle w:val="ListParagraph"/>
        <w:numPr>
          <w:ilvl w:val="1"/>
          <w:numId w:val="14"/>
        </w:numPr>
        <w:spacing w:after="0"/>
        <w:ind w:left="720"/>
      </w:pPr>
      <w:hyperlink r:id="rId44" w:history="1">
        <w:r w:rsidR="0063646F" w:rsidRPr="006D0E47">
          <w:rPr>
            <w:rStyle w:val="Hyperlink"/>
          </w:rPr>
          <w:t>Government Response to Coronavirus, COVID-19</w:t>
        </w:r>
      </w:hyperlink>
    </w:p>
    <w:p w14:paraId="51DF4DFF" w14:textId="77777777" w:rsidR="0063646F" w:rsidRDefault="005936B0" w:rsidP="0063646F">
      <w:pPr>
        <w:pStyle w:val="ListParagraph"/>
        <w:numPr>
          <w:ilvl w:val="1"/>
          <w:numId w:val="14"/>
        </w:numPr>
        <w:spacing w:after="0"/>
        <w:ind w:left="720"/>
      </w:pPr>
      <w:hyperlink r:id="rId45" w:history="1">
        <w:r w:rsidR="0063646F" w:rsidRPr="0032732F">
          <w:rPr>
            <w:rStyle w:val="Hyperlink"/>
          </w:rPr>
          <w:t>Indian Health Servic</w:t>
        </w:r>
        <w:r w:rsidR="0063646F">
          <w:rPr>
            <w:rStyle w:val="Hyperlink"/>
          </w:rPr>
          <w:t>e (IHS)</w:t>
        </w:r>
      </w:hyperlink>
    </w:p>
    <w:p w14:paraId="7EC00666" w14:textId="77777777" w:rsidR="0063646F" w:rsidRDefault="005936B0" w:rsidP="0063646F">
      <w:pPr>
        <w:pStyle w:val="ListParagraph"/>
        <w:numPr>
          <w:ilvl w:val="1"/>
          <w:numId w:val="14"/>
        </w:numPr>
        <w:spacing w:after="0"/>
        <w:ind w:left="720"/>
      </w:pPr>
      <w:hyperlink r:id="rId46" w:history="1">
        <w:r w:rsidR="0063646F" w:rsidRPr="00F83C4E">
          <w:rPr>
            <w:rStyle w:val="Hyperlink"/>
          </w:rPr>
          <w:t>Bureau of Indian Affair</w:t>
        </w:r>
        <w:r w:rsidR="0063646F">
          <w:rPr>
            <w:rStyle w:val="Hyperlink"/>
          </w:rPr>
          <w:t>s (BIA)</w:t>
        </w:r>
      </w:hyperlink>
    </w:p>
    <w:p w14:paraId="27C2844C" w14:textId="77777777" w:rsidR="0063646F" w:rsidRDefault="005936B0" w:rsidP="0063646F">
      <w:pPr>
        <w:pStyle w:val="ListParagraph"/>
        <w:numPr>
          <w:ilvl w:val="1"/>
          <w:numId w:val="14"/>
        </w:numPr>
        <w:spacing w:after="0"/>
        <w:ind w:left="720"/>
      </w:pPr>
      <w:hyperlink r:id="rId47" w:history="1">
        <w:r w:rsidR="0063646F" w:rsidRPr="00F83C4E">
          <w:rPr>
            <w:rStyle w:val="Hyperlink"/>
          </w:rPr>
          <w:t>Substance Abuse and Mental Health Services Administratio</w:t>
        </w:r>
        <w:r w:rsidR="0063646F">
          <w:rPr>
            <w:rStyle w:val="Hyperlink"/>
          </w:rPr>
          <w:t>n (SAMHSA)</w:t>
        </w:r>
      </w:hyperlink>
      <w:r w:rsidR="0063646F">
        <w:t>—Talking with Children: Tips for Caregivers, Parents, and Teachers During Infectious Disease Outbreaks</w:t>
      </w:r>
    </w:p>
    <w:p w14:paraId="6C5A1A38" w14:textId="77777777" w:rsidR="0063646F" w:rsidRPr="003C2A30" w:rsidRDefault="005936B0" w:rsidP="0063646F">
      <w:pPr>
        <w:pStyle w:val="ListParagraph"/>
        <w:numPr>
          <w:ilvl w:val="1"/>
          <w:numId w:val="14"/>
        </w:numPr>
        <w:spacing w:after="0"/>
        <w:ind w:left="720"/>
        <w:rPr>
          <w:rStyle w:val="Hyperlink"/>
          <w:color w:val="auto"/>
          <w:u w:val="none"/>
        </w:rPr>
      </w:pPr>
      <w:hyperlink r:id="rId48" w:history="1">
        <w:r w:rsidR="0063646F" w:rsidRPr="00891334">
          <w:rPr>
            <w:rStyle w:val="Hyperlink"/>
          </w:rPr>
          <w:t>Federal Emergency Management Agenc</w:t>
        </w:r>
        <w:r w:rsidR="0063646F">
          <w:rPr>
            <w:rStyle w:val="Hyperlink"/>
          </w:rPr>
          <w:t>y (FEMA)</w:t>
        </w:r>
      </w:hyperlink>
    </w:p>
    <w:p w14:paraId="57ACC28A" w14:textId="77777777" w:rsidR="0063646F" w:rsidRPr="003C2A30" w:rsidRDefault="005936B0" w:rsidP="0063646F">
      <w:pPr>
        <w:pStyle w:val="ListParagraph"/>
        <w:numPr>
          <w:ilvl w:val="0"/>
          <w:numId w:val="14"/>
        </w:numPr>
      </w:pPr>
      <w:hyperlink r:id="rId49" w:history="1">
        <w:r w:rsidR="0063646F" w:rsidRPr="003C2A30">
          <w:rPr>
            <w:rStyle w:val="Hyperlink"/>
          </w:rPr>
          <w:t xml:space="preserve">National Runaway </w:t>
        </w:r>
        <w:proofErr w:type="spellStart"/>
        <w:r w:rsidR="0063646F" w:rsidRPr="003C2A30">
          <w:rPr>
            <w:rStyle w:val="Hyperlink"/>
          </w:rPr>
          <w:t>Safeline</w:t>
        </w:r>
        <w:proofErr w:type="spellEnd"/>
        <w:r w:rsidR="0063646F" w:rsidRPr="003C2A30">
          <w:rPr>
            <w:rStyle w:val="Hyperlink"/>
          </w:rPr>
          <w:t xml:space="preserve"> (NRS)</w:t>
        </w:r>
      </w:hyperlink>
    </w:p>
    <w:p w14:paraId="19B00D10" w14:textId="77777777" w:rsidR="0063646F" w:rsidRPr="00960AB2" w:rsidRDefault="005936B0" w:rsidP="0063646F">
      <w:pPr>
        <w:pStyle w:val="ListParagraph"/>
        <w:numPr>
          <w:ilvl w:val="1"/>
          <w:numId w:val="14"/>
        </w:numPr>
        <w:spacing w:after="0"/>
        <w:ind w:left="720"/>
        <w:rPr>
          <w:rStyle w:val="Hyperlink"/>
          <w:color w:val="auto"/>
          <w:u w:val="none"/>
        </w:rPr>
      </w:pPr>
      <w:hyperlink r:id="rId50" w:history="1">
        <w:r w:rsidR="0063646F" w:rsidRPr="00F83C4E">
          <w:rPr>
            <w:rStyle w:val="Hyperlink"/>
          </w:rPr>
          <w:t>National Indian Health Boar</w:t>
        </w:r>
        <w:r w:rsidR="0063646F">
          <w:rPr>
            <w:rStyle w:val="Hyperlink"/>
          </w:rPr>
          <w:t>d (NIHB)</w:t>
        </w:r>
      </w:hyperlink>
    </w:p>
    <w:p w14:paraId="11F1EBFE" w14:textId="77777777" w:rsidR="0063646F" w:rsidRPr="00BE43E8" w:rsidRDefault="0063646F" w:rsidP="0063646F">
      <w:pPr>
        <w:pStyle w:val="ListParagraph"/>
        <w:numPr>
          <w:ilvl w:val="1"/>
          <w:numId w:val="14"/>
        </w:numPr>
        <w:spacing w:after="0"/>
        <w:ind w:left="720"/>
        <w:rPr>
          <w:rStyle w:val="Hyperlink"/>
        </w:rPr>
      </w:pPr>
      <w:r>
        <w:fldChar w:fldCharType="begin"/>
      </w:r>
      <w:r>
        <w:instrText xml:space="preserve"> HYPERLINK "http://www.ncai.org/" </w:instrText>
      </w:r>
      <w:r>
        <w:fldChar w:fldCharType="separate"/>
      </w:r>
      <w:r w:rsidRPr="00BE43E8">
        <w:rPr>
          <w:rStyle w:val="Hyperlink"/>
        </w:rPr>
        <w:t>National Congress of American Indians (NCAI)</w:t>
      </w:r>
    </w:p>
    <w:p w14:paraId="58C2E192" w14:textId="55C115AB" w:rsidR="00A71635" w:rsidRPr="00A62905" w:rsidRDefault="0063646F" w:rsidP="00F70E70">
      <w:pPr>
        <w:pStyle w:val="ListParagraph"/>
        <w:numPr>
          <w:ilvl w:val="1"/>
          <w:numId w:val="14"/>
        </w:numPr>
        <w:spacing w:after="0"/>
        <w:ind w:left="720"/>
        <w:rPr>
          <w:rStyle w:val="Hyperlink"/>
          <w:color w:val="auto"/>
          <w:u w:val="none"/>
        </w:rPr>
      </w:pPr>
      <w:r>
        <w:fldChar w:fldCharType="end"/>
      </w:r>
      <w:hyperlink r:id="rId51" w:history="1">
        <w:r w:rsidRPr="0032732F">
          <w:rPr>
            <w:rStyle w:val="Hyperlink"/>
          </w:rPr>
          <w:t>National Indian Education Associatio</w:t>
        </w:r>
        <w:r>
          <w:rPr>
            <w:rStyle w:val="Hyperlink"/>
          </w:rPr>
          <w:t>n (NIEA)</w:t>
        </w:r>
      </w:hyperlink>
    </w:p>
    <w:p w14:paraId="6B691C28" w14:textId="649B3409" w:rsidR="00A62905" w:rsidRPr="00F70E70" w:rsidRDefault="005936B0" w:rsidP="00A62905">
      <w:pPr>
        <w:pStyle w:val="ListParagraph"/>
        <w:numPr>
          <w:ilvl w:val="1"/>
          <w:numId w:val="14"/>
        </w:numPr>
        <w:spacing w:after="0"/>
        <w:ind w:left="720"/>
      </w:pPr>
      <w:hyperlink r:id="rId52" w:history="1">
        <w:r w:rsidR="00A62905" w:rsidRPr="00A62905">
          <w:rPr>
            <w:rStyle w:val="Hyperlink"/>
          </w:rPr>
          <w:t>Center for American Indian Health</w:t>
        </w:r>
      </w:hyperlink>
      <w:r w:rsidR="00A62905">
        <w:t xml:space="preserve"> </w:t>
      </w:r>
    </w:p>
    <w:sectPr w:rsidR="00A62905" w:rsidRPr="00F70E70" w:rsidSect="00BC1428">
      <w:type w:val="continuous"/>
      <w:pgSz w:w="12240" w:h="15840"/>
      <w:pgMar w:top="1530" w:right="1440" w:bottom="1440" w:left="1440" w:header="54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F1D18" w16cid:durableId="2231E7E4"/>
  <w16cid:commentId w16cid:paraId="184BB232" w16cid:durableId="2231E7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BDA7" w14:textId="77777777" w:rsidR="005936B0" w:rsidRDefault="005936B0" w:rsidP="002D039B">
      <w:pPr>
        <w:spacing w:after="0" w:line="240" w:lineRule="auto"/>
      </w:pPr>
      <w:r>
        <w:separator/>
      </w:r>
    </w:p>
  </w:endnote>
  <w:endnote w:type="continuationSeparator" w:id="0">
    <w:p w14:paraId="14333E64" w14:textId="77777777" w:rsidR="005936B0" w:rsidRDefault="005936B0" w:rsidP="002D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91178"/>
      <w:docPartObj>
        <w:docPartGallery w:val="Page Numbers (Bottom of Page)"/>
        <w:docPartUnique/>
      </w:docPartObj>
    </w:sdtPr>
    <w:sdtEndPr/>
    <w:sdtContent>
      <w:sdt>
        <w:sdtPr>
          <w:id w:val="1728636285"/>
          <w:docPartObj>
            <w:docPartGallery w:val="Page Numbers (Top of Page)"/>
            <w:docPartUnique/>
          </w:docPartObj>
        </w:sdtPr>
        <w:sdtEndPr/>
        <w:sdtContent>
          <w:p w14:paraId="6BE8080D" w14:textId="0454A47C" w:rsidR="001E3BCA" w:rsidRDefault="001E3BCA">
            <w:pPr>
              <w:pStyle w:val="Footer"/>
              <w:jc w:val="center"/>
            </w:pPr>
            <w:r w:rsidRPr="001E3BCA">
              <w:rPr>
                <w:color w:val="000000" w:themeColor="text1"/>
              </w:rPr>
              <w:t xml:space="preserve">Page </w:t>
            </w:r>
            <w:r w:rsidRPr="001E3BCA">
              <w:rPr>
                <w:b/>
                <w:bCs/>
                <w:color w:val="000000" w:themeColor="text1"/>
              </w:rPr>
              <w:fldChar w:fldCharType="begin"/>
            </w:r>
            <w:r w:rsidRPr="001E3BCA">
              <w:rPr>
                <w:b/>
                <w:bCs/>
                <w:color w:val="000000" w:themeColor="text1"/>
              </w:rPr>
              <w:instrText xml:space="preserve"> PAGE </w:instrText>
            </w:r>
            <w:r w:rsidRPr="001E3BCA">
              <w:rPr>
                <w:b/>
                <w:bCs/>
                <w:color w:val="000000" w:themeColor="text1"/>
              </w:rPr>
              <w:fldChar w:fldCharType="separate"/>
            </w:r>
            <w:r w:rsidR="00AA02FD">
              <w:rPr>
                <w:b/>
                <w:bCs/>
                <w:noProof/>
                <w:color w:val="000000" w:themeColor="text1"/>
              </w:rPr>
              <w:t>4</w:t>
            </w:r>
            <w:r w:rsidRPr="001E3BCA">
              <w:rPr>
                <w:b/>
                <w:bCs/>
                <w:color w:val="000000" w:themeColor="text1"/>
              </w:rPr>
              <w:fldChar w:fldCharType="end"/>
            </w:r>
            <w:r w:rsidRPr="001E3BCA">
              <w:rPr>
                <w:color w:val="000000" w:themeColor="text1"/>
              </w:rPr>
              <w:t xml:space="preserve"> of </w:t>
            </w:r>
            <w:r w:rsidRPr="001E3BCA">
              <w:rPr>
                <w:b/>
                <w:bCs/>
                <w:color w:val="000000" w:themeColor="text1"/>
              </w:rPr>
              <w:fldChar w:fldCharType="begin"/>
            </w:r>
            <w:r w:rsidRPr="001E3BCA">
              <w:rPr>
                <w:b/>
                <w:bCs/>
                <w:color w:val="000000" w:themeColor="text1"/>
              </w:rPr>
              <w:instrText xml:space="preserve"> NUMPAGES  </w:instrText>
            </w:r>
            <w:r w:rsidRPr="001E3BCA">
              <w:rPr>
                <w:b/>
                <w:bCs/>
                <w:color w:val="000000" w:themeColor="text1"/>
              </w:rPr>
              <w:fldChar w:fldCharType="separate"/>
            </w:r>
            <w:r w:rsidR="00AA02FD">
              <w:rPr>
                <w:b/>
                <w:bCs/>
                <w:noProof/>
                <w:color w:val="000000" w:themeColor="text1"/>
              </w:rPr>
              <w:t>4</w:t>
            </w:r>
            <w:r w:rsidRPr="001E3BCA">
              <w:rPr>
                <w:b/>
                <w:bCs/>
                <w:color w:val="000000" w:themeColor="text1"/>
              </w:rPr>
              <w:fldChar w:fldCharType="end"/>
            </w:r>
          </w:p>
        </w:sdtContent>
      </w:sdt>
    </w:sdtContent>
  </w:sdt>
  <w:p w14:paraId="29D55AF0" w14:textId="77777777" w:rsidR="001E3BCA" w:rsidRDefault="001E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E8FD" w14:textId="77777777" w:rsidR="005936B0" w:rsidRDefault="005936B0" w:rsidP="002D039B">
      <w:pPr>
        <w:spacing w:after="0" w:line="240" w:lineRule="auto"/>
      </w:pPr>
      <w:r>
        <w:separator/>
      </w:r>
    </w:p>
  </w:footnote>
  <w:footnote w:type="continuationSeparator" w:id="0">
    <w:p w14:paraId="686111C4" w14:textId="77777777" w:rsidR="005936B0" w:rsidRDefault="005936B0" w:rsidP="002D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6E5C" w14:textId="3514B9D5" w:rsidR="000E4605" w:rsidRPr="00BC1428" w:rsidRDefault="00BC1428" w:rsidP="00BC1428">
    <w:pPr>
      <w:pStyle w:val="Header"/>
      <w:rPr>
        <w:rFonts w:asciiTheme="majorHAnsi" w:eastAsiaTheme="majorEastAsia" w:hAnsiTheme="majorHAnsi" w:cstheme="majorBidi"/>
        <w:spacing w:val="-10"/>
        <w:kern w:val="28"/>
        <w:sz w:val="40"/>
        <w:szCs w:val="40"/>
      </w:rPr>
    </w:pPr>
    <w:r>
      <w:rPr>
        <w:rStyle w:val="TitleChar"/>
      </w:rPr>
      <w:tab/>
    </w:r>
    <w:r>
      <w:rPr>
        <w:rStyle w:val="TitleCha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0B3"/>
    <w:multiLevelType w:val="hybridMultilevel"/>
    <w:tmpl w:val="353A59E4"/>
    <w:lvl w:ilvl="0" w:tplc="2724054A">
      <w:start w:val="1"/>
      <w:numFmt w:val="bullet"/>
      <w:lvlText w:val=""/>
      <w:lvlJc w:val="left"/>
      <w:pPr>
        <w:ind w:left="720" w:hanging="360"/>
      </w:pPr>
      <w:rPr>
        <w:rFonts w:ascii="Wingdings" w:hAnsi="Wingdings" w:hint="default"/>
        <w:color w:val="C00000"/>
      </w:rPr>
    </w:lvl>
    <w:lvl w:ilvl="1" w:tplc="2724054A">
      <w:start w:val="1"/>
      <w:numFmt w:val="bullet"/>
      <w:lvlText w:val=""/>
      <w:lvlJc w:val="left"/>
      <w:pPr>
        <w:ind w:left="1440" w:hanging="360"/>
      </w:pPr>
      <w:rPr>
        <w:rFonts w:ascii="Wingdings" w:hAnsi="Wingdings" w:hint="default"/>
        <w:color w:val="C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38A8"/>
    <w:multiLevelType w:val="hybridMultilevel"/>
    <w:tmpl w:val="9D903162"/>
    <w:lvl w:ilvl="0" w:tplc="2724054A">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21D3A"/>
    <w:multiLevelType w:val="multilevel"/>
    <w:tmpl w:val="0704924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F42282A"/>
    <w:multiLevelType w:val="hybridMultilevel"/>
    <w:tmpl w:val="0F884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E5978"/>
    <w:multiLevelType w:val="hybridMultilevel"/>
    <w:tmpl w:val="4D68FC00"/>
    <w:lvl w:ilvl="0" w:tplc="2724054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736C9"/>
    <w:multiLevelType w:val="hybridMultilevel"/>
    <w:tmpl w:val="15269B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3CC2739"/>
    <w:multiLevelType w:val="hybridMultilevel"/>
    <w:tmpl w:val="94FA9F70"/>
    <w:lvl w:ilvl="0" w:tplc="2724054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331E0"/>
    <w:multiLevelType w:val="hybridMultilevel"/>
    <w:tmpl w:val="2C4A916A"/>
    <w:lvl w:ilvl="0" w:tplc="2724054A">
      <w:start w:val="1"/>
      <w:numFmt w:val="bullet"/>
      <w:lvlText w:val=""/>
      <w:lvlJc w:val="left"/>
      <w:pPr>
        <w:ind w:left="720" w:hanging="360"/>
      </w:pPr>
      <w:rPr>
        <w:rFonts w:ascii="Wingdings" w:hAnsi="Wingdings" w:hint="default"/>
        <w:color w:val="C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E7436"/>
    <w:multiLevelType w:val="hybridMultilevel"/>
    <w:tmpl w:val="F4C6F1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680300"/>
    <w:multiLevelType w:val="hybridMultilevel"/>
    <w:tmpl w:val="A23E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851EE"/>
    <w:multiLevelType w:val="hybridMultilevel"/>
    <w:tmpl w:val="D3004BCC"/>
    <w:lvl w:ilvl="0" w:tplc="2724054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B6C9C"/>
    <w:multiLevelType w:val="hybridMultilevel"/>
    <w:tmpl w:val="B3741B08"/>
    <w:lvl w:ilvl="0" w:tplc="7DAE15F4">
      <w:start w:val="1"/>
      <w:numFmt w:val="bullet"/>
      <w:lvlText w:val="_"/>
      <w:lvlJc w:val="left"/>
      <w:pPr>
        <w:ind w:left="36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A65461"/>
    <w:multiLevelType w:val="hybridMultilevel"/>
    <w:tmpl w:val="B22C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B4C75"/>
    <w:multiLevelType w:val="hybridMultilevel"/>
    <w:tmpl w:val="8566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C502D"/>
    <w:multiLevelType w:val="hybridMultilevel"/>
    <w:tmpl w:val="2A1CF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E34BA"/>
    <w:multiLevelType w:val="multilevel"/>
    <w:tmpl w:val="F3F6B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3"/>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4"/>
  </w:num>
  <w:num w:numId="11">
    <w:abstractNumId w:val="7"/>
  </w:num>
  <w:num w:numId="12">
    <w:abstractNumId w:val="4"/>
  </w:num>
  <w:num w:numId="13">
    <w:abstractNumId w:val="6"/>
  </w:num>
  <w:num w:numId="14">
    <w:abstractNumId w:val="0"/>
  </w:num>
  <w:num w:numId="15">
    <w:abstractNumId w:val="1"/>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86"/>
    <w:rsid w:val="00014A1B"/>
    <w:rsid w:val="00022792"/>
    <w:rsid w:val="000243CB"/>
    <w:rsid w:val="00041A0D"/>
    <w:rsid w:val="000432DD"/>
    <w:rsid w:val="000D48E5"/>
    <w:rsid w:val="000E4605"/>
    <w:rsid w:val="000F0491"/>
    <w:rsid w:val="00101E0D"/>
    <w:rsid w:val="00117A63"/>
    <w:rsid w:val="00122ECD"/>
    <w:rsid w:val="00126269"/>
    <w:rsid w:val="0012662B"/>
    <w:rsid w:val="00127518"/>
    <w:rsid w:val="00142CBB"/>
    <w:rsid w:val="00155121"/>
    <w:rsid w:val="00196151"/>
    <w:rsid w:val="001D6574"/>
    <w:rsid w:val="001E3BCA"/>
    <w:rsid w:val="0020586E"/>
    <w:rsid w:val="002069DF"/>
    <w:rsid w:val="002220D8"/>
    <w:rsid w:val="00230CE7"/>
    <w:rsid w:val="0024519B"/>
    <w:rsid w:val="00247DC3"/>
    <w:rsid w:val="00257083"/>
    <w:rsid w:val="002804A3"/>
    <w:rsid w:val="00287360"/>
    <w:rsid w:val="002B3EFD"/>
    <w:rsid w:val="002B67C7"/>
    <w:rsid w:val="002D039B"/>
    <w:rsid w:val="002D2EA0"/>
    <w:rsid w:val="002D7E5D"/>
    <w:rsid w:val="002E56BC"/>
    <w:rsid w:val="002E6D20"/>
    <w:rsid w:val="002F2E7F"/>
    <w:rsid w:val="002F31BE"/>
    <w:rsid w:val="0032732F"/>
    <w:rsid w:val="003324D2"/>
    <w:rsid w:val="0035253E"/>
    <w:rsid w:val="00362E75"/>
    <w:rsid w:val="00363691"/>
    <w:rsid w:val="0036383A"/>
    <w:rsid w:val="003819EA"/>
    <w:rsid w:val="00390C98"/>
    <w:rsid w:val="00397D33"/>
    <w:rsid w:val="003A79DA"/>
    <w:rsid w:val="003C2A30"/>
    <w:rsid w:val="003C4355"/>
    <w:rsid w:val="003C4642"/>
    <w:rsid w:val="003C55CC"/>
    <w:rsid w:val="003D4179"/>
    <w:rsid w:val="003F4EC9"/>
    <w:rsid w:val="004121B3"/>
    <w:rsid w:val="0041436B"/>
    <w:rsid w:val="00425818"/>
    <w:rsid w:val="00445485"/>
    <w:rsid w:val="00453B21"/>
    <w:rsid w:val="004566DA"/>
    <w:rsid w:val="004574D1"/>
    <w:rsid w:val="0046487D"/>
    <w:rsid w:val="0047401C"/>
    <w:rsid w:val="00477F70"/>
    <w:rsid w:val="00480C16"/>
    <w:rsid w:val="00486437"/>
    <w:rsid w:val="004B11BC"/>
    <w:rsid w:val="004C65C6"/>
    <w:rsid w:val="004C7E85"/>
    <w:rsid w:val="004D3FF6"/>
    <w:rsid w:val="004F2E50"/>
    <w:rsid w:val="005141CF"/>
    <w:rsid w:val="00532709"/>
    <w:rsid w:val="00543E78"/>
    <w:rsid w:val="00546BFD"/>
    <w:rsid w:val="00550AED"/>
    <w:rsid w:val="00552249"/>
    <w:rsid w:val="00554236"/>
    <w:rsid w:val="00572716"/>
    <w:rsid w:val="00580963"/>
    <w:rsid w:val="00585AA8"/>
    <w:rsid w:val="00592C17"/>
    <w:rsid w:val="005936B0"/>
    <w:rsid w:val="005B0B50"/>
    <w:rsid w:val="005B0D32"/>
    <w:rsid w:val="005B3B86"/>
    <w:rsid w:val="005B7820"/>
    <w:rsid w:val="005C0B7B"/>
    <w:rsid w:val="005D18D5"/>
    <w:rsid w:val="00630A74"/>
    <w:rsid w:val="0063272C"/>
    <w:rsid w:val="0063363F"/>
    <w:rsid w:val="00635A13"/>
    <w:rsid w:val="0063646F"/>
    <w:rsid w:val="00637C57"/>
    <w:rsid w:val="00674773"/>
    <w:rsid w:val="0068061B"/>
    <w:rsid w:val="00682337"/>
    <w:rsid w:val="00682FA9"/>
    <w:rsid w:val="0068394F"/>
    <w:rsid w:val="00693C66"/>
    <w:rsid w:val="006A099D"/>
    <w:rsid w:val="006A7E51"/>
    <w:rsid w:val="006B7223"/>
    <w:rsid w:val="006B7458"/>
    <w:rsid w:val="006B7C2E"/>
    <w:rsid w:val="006D0E47"/>
    <w:rsid w:val="006E2C72"/>
    <w:rsid w:val="006E6EF9"/>
    <w:rsid w:val="006F202F"/>
    <w:rsid w:val="006F4166"/>
    <w:rsid w:val="00710966"/>
    <w:rsid w:val="00710F2C"/>
    <w:rsid w:val="00713665"/>
    <w:rsid w:val="0072500D"/>
    <w:rsid w:val="007337E3"/>
    <w:rsid w:val="00735690"/>
    <w:rsid w:val="0075151D"/>
    <w:rsid w:val="0075293E"/>
    <w:rsid w:val="0075299E"/>
    <w:rsid w:val="00764AE0"/>
    <w:rsid w:val="00773B1F"/>
    <w:rsid w:val="0077421B"/>
    <w:rsid w:val="00776FA1"/>
    <w:rsid w:val="007873A8"/>
    <w:rsid w:val="007E0D12"/>
    <w:rsid w:val="007E3939"/>
    <w:rsid w:val="008057EF"/>
    <w:rsid w:val="008113D6"/>
    <w:rsid w:val="00824C5E"/>
    <w:rsid w:val="00891334"/>
    <w:rsid w:val="00894871"/>
    <w:rsid w:val="008B4324"/>
    <w:rsid w:val="008B6DFF"/>
    <w:rsid w:val="008D1D3C"/>
    <w:rsid w:val="008D1F92"/>
    <w:rsid w:val="008D3670"/>
    <w:rsid w:val="008D7CCC"/>
    <w:rsid w:val="008E4446"/>
    <w:rsid w:val="009148A2"/>
    <w:rsid w:val="00921350"/>
    <w:rsid w:val="00933BD5"/>
    <w:rsid w:val="009533BE"/>
    <w:rsid w:val="00953A91"/>
    <w:rsid w:val="00960AB2"/>
    <w:rsid w:val="0096446E"/>
    <w:rsid w:val="00964674"/>
    <w:rsid w:val="00967E9E"/>
    <w:rsid w:val="00981A93"/>
    <w:rsid w:val="009A7706"/>
    <w:rsid w:val="009B6060"/>
    <w:rsid w:val="009B6E84"/>
    <w:rsid w:val="009B7A9D"/>
    <w:rsid w:val="009E5CCF"/>
    <w:rsid w:val="009F2CCC"/>
    <w:rsid w:val="009F7291"/>
    <w:rsid w:val="00A174CC"/>
    <w:rsid w:val="00A255D6"/>
    <w:rsid w:val="00A26803"/>
    <w:rsid w:val="00A60B26"/>
    <w:rsid w:val="00A62905"/>
    <w:rsid w:val="00A6644D"/>
    <w:rsid w:val="00A71635"/>
    <w:rsid w:val="00A85D26"/>
    <w:rsid w:val="00AA02FD"/>
    <w:rsid w:val="00AF547F"/>
    <w:rsid w:val="00AF6F19"/>
    <w:rsid w:val="00B04D2E"/>
    <w:rsid w:val="00B165A3"/>
    <w:rsid w:val="00B277D6"/>
    <w:rsid w:val="00B3308C"/>
    <w:rsid w:val="00B50D4C"/>
    <w:rsid w:val="00B566C5"/>
    <w:rsid w:val="00B60219"/>
    <w:rsid w:val="00B74499"/>
    <w:rsid w:val="00B81A4B"/>
    <w:rsid w:val="00B84527"/>
    <w:rsid w:val="00B857A0"/>
    <w:rsid w:val="00B94DC1"/>
    <w:rsid w:val="00B95637"/>
    <w:rsid w:val="00B965BF"/>
    <w:rsid w:val="00BA5188"/>
    <w:rsid w:val="00BC1428"/>
    <w:rsid w:val="00BC70B9"/>
    <w:rsid w:val="00BD40CD"/>
    <w:rsid w:val="00BE43E8"/>
    <w:rsid w:val="00BE7A09"/>
    <w:rsid w:val="00BE7CE4"/>
    <w:rsid w:val="00C066CC"/>
    <w:rsid w:val="00C067A2"/>
    <w:rsid w:val="00C35B6F"/>
    <w:rsid w:val="00C459D1"/>
    <w:rsid w:val="00C51DE3"/>
    <w:rsid w:val="00C62900"/>
    <w:rsid w:val="00C738B1"/>
    <w:rsid w:val="00C92DC4"/>
    <w:rsid w:val="00C94AAC"/>
    <w:rsid w:val="00CB630C"/>
    <w:rsid w:val="00CB737E"/>
    <w:rsid w:val="00CD0478"/>
    <w:rsid w:val="00D02A6E"/>
    <w:rsid w:val="00D127A1"/>
    <w:rsid w:val="00D2398F"/>
    <w:rsid w:val="00D24FE7"/>
    <w:rsid w:val="00D31D8D"/>
    <w:rsid w:val="00D43841"/>
    <w:rsid w:val="00D467DE"/>
    <w:rsid w:val="00D47DAE"/>
    <w:rsid w:val="00D610A4"/>
    <w:rsid w:val="00D61F1A"/>
    <w:rsid w:val="00D76CAD"/>
    <w:rsid w:val="00D77F71"/>
    <w:rsid w:val="00DA2210"/>
    <w:rsid w:val="00DA381E"/>
    <w:rsid w:val="00DF7373"/>
    <w:rsid w:val="00E0021B"/>
    <w:rsid w:val="00E03870"/>
    <w:rsid w:val="00E2772A"/>
    <w:rsid w:val="00E354A7"/>
    <w:rsid w:val="00E35813"/>
    <w:rsid w:val="00E525E3"/>
    <w:rsid w:val="00E7299C"/>
    <w:rsid w:val="00E76C81"/>
    <w:rsid w:val="00E82136"/>
    <w:rsid w:val="00E85C92"/>
    <w:rsid w:val="00E97D74"/>
    <w:rsid w:val="00EA4004"/>
    <w:rsid w:val="00EA5466"/>
    <w:rsid w:val="00EA62BC"/>
    <w:rsid w:val="00EB01A8"/>
    <w:rsid w:val="00EB2AB2"/>
    <w:rsid w:val="00EC6026"/>
    <w:rsid w:val="00ED6668"/>
    <w:rsid w:val="00EE242D"/>
    <w:rsid w:val="00F00CE4"/>
    <w:rsid w:val="00F1317A"/>
    <w:rsid w:val="00F150A6"/>
    <w:rsid w:val="00F23A5D"/>
    <w:rsid w:val="00F26968"/>
    <w:rsid w:val="00F32E07"/>
    <w:rsid w:val="00F46E3B"/>
    <w:rsid w:val="00F55D5B"/>
    <w:rsid w:val="00F607D8"/>
    <w:rsid w:val="00F70E70"/>
    <w:rsid w:val="00F753B3"/>
    <w:rsid w:val="00F83C4E"/>
    <w:rsid w:val="00F87F75"/>
    <w:rsid w:val="00F94073"/>
    <w:rsid w:val="00FA4F3F"/>
    <w:rsid w:val="00FB1338"/>
    <w:rsid w:val="00FB5E5E"/>
    <w:rsid w:val="00FC0E97"/>
    <w:rsid w:val="00FC44F0"/>
    <w:rsid w:val="00FC4B3E"/>
    <w:rsid w:val="00FC70CA"/>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F6FC"/>
  <w15:chartTrackingRefBased/>
  <w15:docId w15:val="{EE836C9B-9A9B-4699-B47E-F21D29F0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86"/>
    <w:pPr>
      <w:ind w:left="720"/>
      <w:contextualSpacing/>
    </w:pPr>
  </w:style>
  <w:style w:type="character" w:styleId="Hyperlink">
    <w:name w:val="Hyperlink"/>
    <w:basedOn w:val="DefaultParagraphFont"/>
    <w:uiPriority w:val="99"/>
    <w:unhideWhenUsed/>
    <w:rsid w:val="004C65C6"/>
    <w:rPr>
      <w:color w:val="0563C1" w:themeColor="hyperlink"/>
      <w:u w:val="single"/>
    </w:rPr>
  </w:style>
  <w:style w:type="paragraph" w:styleId="Header">
    <w:name w:val="header"/>
    <w:basedOn w:val="Normal"/>
    <w:link w:val="HeaderChar"/>
    <w:uiPriority w:val="99"/>
    <w:unhideWhenUsed/>
    <w:rsid w:val="002D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9B"/>
  </w:style>
  <w:style w:type="paragraph" w:styleId="Footer">
    <w:name w:val="footer"/>
    <w:basedOn w:val="Normal"/>
    <w:link w:val="FooterChar"/>
    <w:uiPriority w:val="99"/>
    <w:unhideWhenUsed/>
    <w:rsid w:val="002D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9B"/>
  </w:style>
  <w:style w:type="character" w:customStyle="1" w:styleId="Heading1Char">
    <w:name w:val="Heading 1 Char"/>
    <w:basedOn w:val="DefaultParagraphFont"/>
    <w:link w:val="Heading1"/>
    <w:uiPriority w:val="9"/>
    <w:rsid w:val="002D039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03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39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62900"/>
    <w:rPr>
      <w:color w:val="954F72" w:themeColor="followedHyperlink"/>
      <w:u w:val="single"/>
    </w:rPr>
  </w:style>
  <w:style w:type="character" w:styleId="CommentReference">
    <w:name w:val="annotation reference"/>
    <w:basedOn w:val="DefaultParagraphFont"/>
    <w:uiPriority w:val="99"/>
    <w:semiHidden/>
    <w:unhideWhenUsed/>
    <w:rsid w:val="00967E9E"/>
    <w:rPr>
      <w:sz w:val="16"/>
      <w:szCs w:val="16"/>
    </w:rPr>
  </w:style>
  <w:style w:type="paragraph" w:styleId="CommentText">
    <w:name w:val="annotation text"/>
    <w:basedOn w:val="Normal"/>
    <w:link w:val="CommentTextChar"/>
    <w:uiPriority w:val="99"/>
    <w:semiHidden/>
    <w:unhideWhenUsed/>
    <w:rsid w:val="00967E9E"/>
    <w:pPr>
      <w:spacing w:line="240" w:lineRule="auto"/>
    </w:pPr>
    <w:rPr>
      <w:sz w:val="20"/>
      <w:szCs w:val="20"/>
    </w:rPr>
  </w:style>
  <w:style w:type="character" w:customStyle="1" w:styleId="CommentTextChar">
    <w:name w:val="Comment Text Char"/>
    <w:basedOn w:val="DefaultParagraphFont"/>
    <w:link w:val="CommentText"/>
    <w:uiPriority w:val="99"/>
    <w:semiHidden/>
    <w:rsid w:val="00967E9E"/>
    <w:rPr>
      <w:sz w:val="20"/>
      <w:szCs w:val="20"/>
    </w:rPr>
  </w:style>
  <w:style w:type="paragraph" w:styleId="CommentSubject">
    <w:name w:val="annotation subject"/>
    <w:basedOn w:val="CommentText"/>
    <w:next w:val="CommentText"/>
    <w:link w:val="CommentSubjectChar"/>
    <w:uiPriority w:val="99"/>
    <w:semiHidden/>
    <w:unhideWhenUsed/>
    <w:rsid w:val="00967E9E"/>
    <w:rPr>
      <w:b/>
      <w:bCs/>
    </w:rPr>
  </w:style>
  <w:style w:type="character" w:customStyle="1" w:styleId="CommentSubjectChar">
    <w:name w:val="Comment Subject Char"/>
    <w:basedOn w:val="CommentTextChar"/>
    <w:link w:val="CommentSubject"/>
    <w:uiPriority w:val="99"/>
    <w:semiHidden/>
    <w:rsid w:val="00967E9E"/>
    <w:rPr>
      <w:b/>
      <w:bCs/>
      <w:sz w:val="20"/>
      <w:szCs w:val="20"/>
    </w:rPr>
  </w:style>
  <w:style w:type="paragraph" w:styleId="BalloonText">
    <w:name w:val="Balloon Text"/>
    <w:basedOn w:val="Normal"/>
    <w:link w:val="BalloonTextChar"/>
    <w:uiPriority w:val="99"/>
    <w:semiHidden/>
    <w:unhideWhenUsed/>
    <w:rsid w:val="0096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63">
      <w:bodyDiv w:val="1"/>
      <w:marLeft w:val="0"/>
      <w:marRight w:val="0"/>
      <w:marTop w:val="0"/>
      <w:marBottom w:val="0"/>
      <w:divBdr>
        <w:top w:val="none" w:sz="0" w:space="0" w:color="auto"/>
        <w:left w:val="none" w:sz="0" w:space="0" w:color="auto"/>
        <w:bottom w:val="none" w:sz="0" w:space="0" w:color="auto"/>
        <w:right w:val="none" w:sz="0" w:space="0" w:color="auto"/>
      </w:divBdr>
    </w:div>
    <w:div w:id="294331123">
      <w:bodyDiv w:val="1"/>
      <w:marLeft w:val="0"/>
      <w:marRight w:val="0"/>
      <w:marTop w:val="0"/>
      <w:marBottom w:val="0"/>
      <w:divBdr>
        <w:top w:val="none" w:sz="0" w:space="0" w:color="auto"/>
        <w:left w:val="none" w:sz="0" w:space="0" w:color="auto"/>
        <w:bottom w:val="none" w:sz="0" w:space="0" w:color="auto"/>
        <w:right w:val="none" w:sz="0" w:space="0" w:color="auto"/>
      </w:divBdr>
    </w:div>
    <w:div w:id="435559204">
      <w:bodyDiv w:val="1"/>
      <w:marLeft w:val="0"/>
      <w:marRight w:val="0"/>
      <w:marTop w:val="0"/>
      <w:marBottom w:val="0"/>
      <w:divBdr>
        <w:top w:val="none" w:sz="0" w:space="0" w:color="auto"/>
        <w:left w:val="none" w:sz="0" w:space="0" w:color="auto"/>
        <w:bottom w:val="none" w:sz="0" w:space="0" w:color="auto"/>
        <w:right w:val="none" w:sz="0" w:space="0" w:color="auto"/>
      </w:divBdr>
    </w:div>
    <w:div w:id="497504689">
      <w:bodyDiv w:val="1"/>
      <w:marLeft w:val="0"/>
      <w:marRight w:val="0"/>
      <w:marTop w:val="0"/>
      <w:marBottom w:val="0"/>
      <w:divBdr>
        <w:top w:val="none" w:sz="0" w:space="0" w:color="auto"/>
        <w:left w:val="none" w:sz="0" w:space="0" w:color="auto"/>
        <w:bottom w:val="none" w:sz="0" w:space="0" w:color="auto"/>
        <w:right w:val="none" w:sz="0" w:space="0" w:color="auto"/>
      </w:divBdr>
    </w:div>
    <w:div w:id="573857172">
      <w:bodyDiv w:val="1"/>
      <w:marLeft w:val="0"/>
      <w:marRight w:val="0"/>
      <w:marTop w:val="0"/>
      <w:marBottom w:val="0"/>
      <w:divBdr>
        <w:top w:val="none" w:sz="0" w:space="0" w:color="auto"/>
        <w:left w:val="none" w:sz="0" w:space="0" w:color="auto"/>
        <w:bottom w:val="none" w:sz="0" w:space="0" w:color="auto"/>
        <w:right w:val="none" w:sz="0" w:space="0" w:color="auto"/>
      </w:divBdr>
    </w:div>
    <w:div w:id="722869767">
      <w:bodyDiv w:val="1"/>
      <w:marLeft w:val="0"/>
      <w:marRight w:val="0"/>
      <w:marTop w:val="0"/>
      <w:marBottom w:val="0"/>
      <w:divBdr>
        <w:top w:val="none" w:sz="0" w:space="0" w:color="auto"/>
        <w:left w:val="none" w:sz="0" w:space="0" w:color="auto"/>
        <w:bottom w:val="none" w:sz="0" w:space="0" w:color="auto"/>
        <w:right w:val="none" w:sz="0" w:space="0" w:color="auto"/>
      </w:divBdr>
    </w:div>
    <w:div w:id="790169127">
      <w:bodyDiv w:val="1"/>
      <w:marLeft w:val="0"/>
      <w:marRight w:val="0"/>
      <w:marTop w:val="0"/>
      <w:marBottom w:val="0"/>
      <w:divBdr>
        <w:top w:val="none" w:sz="0" w:space="0" w:color="auto"/>
        <w:left w:val="none" w:sz="0" w:space="0" w:color="auto"/>
        <w:bottom w:val="none" w:sz="0" w:space="0" w:color="auto"/>
        <w:right w:val="none" w:sz="0" w:space="0" w:color="auto"/>
      </w:divBdr>
    </w:div>
    <w:div w:id="968978554">
      <w:bodyDiv w:val="1"/>
      <w:marLeft w:val="0"/>
      <w:marRight w:val="0"/>
      <w:marTop w:val="0"/>
      <w:marBottom w:val="0"/>
      <w:divBdr>
        <w:top w:val="none" w:sz="0" w:space="0" w:color="auto"/>
        <w:left w:val="none" w:sz="0" w:space="0" w:color="auto"/>
        <w:bottom w:val="none" w:sz="0" w:space="0" w:color="auto"/>
        <w:right w:val="none" w:sz="0" w:space="0" w:color="auto"/>
      </w:divBdr>
    </w:div>
    <w:div w:id="971324692">
      <w:bodyDiv w:val="1"/>
      <w:marLeft w:val="0"/>
      <w:marRight w:val="0"/>
      <w:marTop w:val="0"/>
      <w:marBottom w:val="0"/>
      <w:divBdr>
        <w:top w:val="none" w:sz="0" w:space="0" w:color="auto"/>
        <w:left w:val="none" w:sz="0" w:space="0" w:color="auto"/>
        <w:bottom w:val="none" w:sz="0" w:space="0" w:color="auto"/>
        <w:right w:val="none" w:sz="0" w:space="0" w:color="auto"/>
      </w:divBdr>
    </w:div>
    <w:div w:id="1025597001">
      <w:bodyDiv w:val="1"/>
      <w:marLeft w:val="0"/>
      <w:marRight w:val="0"/>
      <w:marTop w:val="0"/>
      <w:marBottom w:val="0"/>
      <w:divBdr>
        <w:top w:val="none" w:sz="0" w:space="0" w:color="auto"/>
        <w:left w:val="none" w:sz="0" w:space="0" w:color="auto"/>
        <w:bottom w:val="none" w:sz="0" w:space="0" w:color="auto"/>
        <w:right w:val="none" w:sz="0" w:space="0" w:color="auto"/>
      </w:divBdr>
    </w:div>
    <w:div w:id="1237475604">
      <w:bodyDiv w:val="1"/>
      <w:marLeft w:val="0"/>
      <w:marRight w:val="0"/>
      <w:marTop w:val="0"/>
      <w:marBottom w:val="0"/>
      <w:divBdr>
        <w:top w:val="none" w:sz="0" w:space="0" w:color="auto"/>
        <w:left w:val="none" w:sz="0" w:space="0" w:color="auto"/>
        <w:bottom w:val="none" w:sz="0" w:space="0" w:color="auto"/>
        <w:right w:val="none" w:sz="0" w:space="0" w:color="auto"/>
      </w:divBdr>
    </w:div>
    <w:div w:id="1293293712">
      <w:bodyDiv w:val="1"/>
      <w:marLeft w:val="0"/>
      <w:marRight w:val="0"/>
      <w:marTop w:val="0"/>
      <w:marBottom w:val="0"/>
      <w:divBdr>
        <w:top w:val="none" w:sz="0" w:space="0" w:color="auto"/>
        <w:left w:val="none" w:sz="0" w:space="0" w:color="auto"/>
        <w:bottom w:val="none" w:sz="0" w:space="0" w:color="auto"/>
        <w:right w:val="none" w:sz="0" w:space="0" w:color="auto"/>
      </w:divBdr>
    </w:div>
    <w:div w:id="1805779900">
      <w:bodyDiv w:val="1"/>
      <w:marLeft w:val="0"/>
      <w:marRight w:val="0"/>
      <w:marTop w:val="0"/>
      <w:marBottom w:val="0"/>
      <w:divBdr>
        <w:top w:val="none" w:sz="0" w:space="0" w:color="auto"/>
        <w:left w:val="none" w:sz="0" w:space="0" w:color="auto"/>
        <w:bottom w:val="none" w:sz="0" w:space="0" w:color="auto"/>
        <w:right w:val="none" w:sz="0" w:space="0" w:color="auto"/>
      </w:divBdr>
    </w:div>
    <w:div w:id="21015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cb" TargetMode="External"/><Relationship Id="rId18" Type="http://schemas.openxmlformats.org/officeDocument/2006/relationships/hyperlink" Target="https://www.acf.hhs.gov/ofa/resource/policy/pi-ofa/2007/200708/pi200708" TargetMode="External"/><Relationship Id="rId26" Type="http://schemas.openxmlformats.org/officeDocument/2006/relationships/hyperlink" Target="https://www.acf.hhs.gov/cb/resource/covid-19-resources" TargetMode="External"/><Relationship Id="rId39" Type="http://schemas.openxmlformats.org/officeDocument/2006/relationships/hyperlink" Target="https://www.cdc.gov/coronavirus/2019-ncov/community/home/index.html" TargetMode="External"/><Relationship Id="rId21" Type="http://schemas.openxmlformats.org/officeDocument/2006/relationships/hyperlink" Target="https://www.acf.hhs.gov/sites/default/files/assets/im_acf_oa_2020_01_acf_covid_flexibilities_final_march_30_2020.pdf" TargetMode="External"/><Relationship Id="rId34" Type="http://schemas.openxmlformats.org/officeDocument/2006/relationships/hyperlink" Target="https://www.cdc.gov/coronavirus/2019-ncov/symptoms-testing/symptoms.html" TargetMode="External"/><Relationship Id="rId42" Type="http://schemas.openxmlformats.org/officeDocument/2006/relationships/hyperlink" Target="https://www.cdc.gov/coronavirus/2019-ncov/prepare/managing-stress-anxiety.html" TargetMode="External"/><Relationship Id="rId47" Type="http://schemas.openxmlformats.org/officeDocument/2006/relationships/hyperlink" Target="https://store.samhsa.gov/system/files/pep20-01-01-006_508_0.pdf" TargetMode="External"/><Relationship Id="rId50" Type="http://schemas.openxmlformats.org/officeDocument/2006/relationships/hyperlink" Target="https://www.nihb.org/public_health/coronavirus_disease_2019.php" TargetMode="Externa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acf.hhs.gov/ofa" TargetMode="External"/><Relationship Id="rId17" Type="http://schemas.openxmlformats.org/officeDocument/2006/relationships/hyperlink" Target="https://www.acf.hhs.gov/sites/default/files/assets/im_acf_oa_2020_01_acf_covid_flexibilities_final_march_30_2020.pdf" TargetMode="External"/><Relationship Id="rId25" Type="http://schemas.openxmlformats.org/officeDocument/2006/relationships/hyperlink" Target="https://www.acf.hhs.gov/sites/default/files/cb/new_guidance_videoconferencing.pdf" TargetMode="External"/><Relationship Id="rId33" Type="http://schemas.openxmlformats.org/officeDocument/2006/relationships/hyperlink" Target="https://www.1800runaway.org/" TargetMode="External"/><Relationship Id="rId38" Type="http://schemas.openxmlformats.org/officeDocument/2006/relationships/hyperlink" Target="https://www.cdc.gov/coronavirus/2019-ncov/community/first-responders.html" TargetMode="External"/><Relationship Id="rId46" Type="http://schemas.openxmlformats.org/officeDocument/2006/relationships/hyperlink" Target="https://www.bia.gov/covid-19" TargetMode="External"/><Relationship Id="rId2" Type="http://schemas.openxmlformats.org/officeDocument/2006/relationships/numbering" Target="numbering.xml"/><Relationship Id="rId16" Type="http://schemas.openxmlformats.org/officeDocument/2006/relationships/hyperlink" Target="https://www.whitehouse.gov/wp-content/uploads/2020/03/03.16.20_coronavirus-guidance_8.5x11_315PM.pdf" TargetMode="External"/><Relationship Id="rId20" Type="http://schemas.openxmlformats.org/officeDocument/2006/relationships/hyperlink" Target="https://www.acf.hhs.gov/ana" TargetMode="External"/><Relationship Id="rId29" Type="http://schemas.openxmlformats.org/officeDocument/2006/relationships/hyperlink" Target="https://eclkc.ohs.acf.hhs.gov/physical-health/article/coronavirus-prevention-response" TargetMode="External"/><Relationship Id="rId41" Type="http://schemas.openxmlformats.org/officeDocument/2006/relationships/hyperlink" Target="https://www.cdc.gov/coronavirus/2019-ncov/community/organizations/businesses-employer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f.hhs.gov/ohs" TargetMode="External"/><Relationship Id="rId24" Type="http://schemas.openxmlformats.org/officeDocument/2006/relationships/hyperlink" Target="https://www.acf.hhs.gov/occ/resource/info-about-covid-19-for-ccdf-lead-agencies-relevant-flexibilities-in-ccdf-law" TargetMode="External"/><Relationship Id="rId32" Type="http://schemas.openxmlformats.org/officeDocument/2006/relationships/hyperlink" Target="https://www.acf.hhs.gov/fysb/programs/runaway-homeless-youth/programs/nrs" TargetMode="External"/><Relationship Id="rId37" Type="http://schemas.openxmlformats.org/officeDocument/2006/relationships/hyperlink" Target="file:///C:\Users\mirtha.beadle\Desktop\COVID-19\&#61607;%09https:\www.cdc.gov\coronavirus\2019-ncov\community\schools-childcare\guidance-for-schools.html" TargetMode="External"/><Relationship Id="rId40" Type="http://schemas.openxmlformats.org/officeDocument/2006/relationships/hyperlink" Target="https://www.cdc.gov/coronavirus/2019-ncov/community/organizations/index.html" TargetMode="External"/><Relationship Id="rId45" Type="http://schemas.openxmlformats.org/officeDocument/2006/relationships/hyperlink" Target="https://www.ihs.gov/coronavir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f.hhs.gov/ocs" TargetMode="External"/><Relationship Id="rId23" Type="http://schemas.openxmlformats.org/officeDocument/2006/relationships/hyperlink" Target="https://www.acf.hhs.gov/ocs/resource/liheap-dcl-initial-covid-19-program-guidance" TargetMode="External"/><Relationship Id="rId28" Type="http://schemas.openxmlformats.org/officeDocument/2006/relationships/hyperlink" Target="https://www.acf.hhs.gov/ofa/resource/tanf-acf-pi-2020-01" TargetMode="External"/><Relationship Id="rId36" Type="http://schemas.openxmlformats.org/officeDocument/2006/relationships/hyperlink" Target="https://www.cdc.gov/coronavirus/2019-ncov/prepare/pregnancy-breastfeeding.html" TargetMode="External"/><Relationship Id="rId49" Type="http://schemas.openxmlformats.org/officeDocument/2006/relationships/hyperlink" Target="https://www.1800runaway.org/" TargetMode="External"/><Relationship Id="rId10" Type="http://schemas.openxmlformats.org/officeDocument/2006/relationships/footer" Target="footer1.xml"/><Relationship Id="rId19" Type="http://schemas.openxmlformats.org/officeDocument/2006/relationships/hyperlink" Target="https://www.acf.hhs.gov/coronavirus/acf-covid-19-stimulus" TargetMode="External"/><Relationship Id="rId31" Type="http://schemas.openxmlformats.org/officeDocument/2006/relationships/hyperlink" Target="https://www.acf.hhs.gov/fysb/programs/family-violence-prevention-services" TargetMode="External"/><Relationship Id="rId44" Type="http://schemas.openxmlformats.org/officeDocument/2006/relationships/hyperlink" Target="https://www.usa.gov/coronavirus" TargetMode="External"/><Relationship Id="rId52" Type="http://schemas.openxmlformats.org/officeDocument/2006/relationships/hyperlink" Target="http://caih.jhu.edu/news/covid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cf.hhs.gov/ocs" TargetMode="External"/><Relationship Id="rId22" Type="http://schemas.openxmlformats.org/officeDocument/2006/relationships/hyperlink" Target="https://www.acf.hhs.gov/ocs/programs/tribal-services" TargetMode="External"/><Relationship Id="rId27" Type="http://schemas.openxmlformats.org/officeDocument/2006/relationships/hyperlink" Target="https://www.acf.hhs.gov/ofa" TargetMode="External"/><Relationship Id="rId30" Type="http://schemas.openxmlformats.org/officeDocument/2006/relationships/hyperlink" Target="https://eclkc.ohs.acf.hhs.gov/physical-health/article/coronavirus-prevention-response" TargetMode="External"/><Relationship Id="rId35" Type="http://schemas.openxmlformats.org/officeDocument/2006/relationships/hyperlink" Target="https://www.cdc.gov/coronavirus/2019-ncov/specific-groups/high-risk-complications/older-adults.html" TargetMode="External"/><Relationship Id="rId43" Type="http://schemas.openxmlformats.org/officeDocument/2006/relationships/hyperlink" Target="file:///C:\Users\mirtha.beadle\AppData\Local\Microsoft\Windows\INetCache\Content.Outlook\ZSIDT054\coronavirus.gov" TargetMode="External"/><Relationship Id="rId48" Type="http://schemas.openxmlformats.org/officeDocument/2006/relationships/hyperlink" Target="https://www.fema.gov/fema-tribal-affairs" TargetMode="External"/><Relationship Id="rId8" Type="http://schemas.openxmlformats.org/officeDocument/2006/relationships/image" Target="media/image1.jpg"/><Relationship Id="rId51" Type="http://schemas.openxmlformats.org/officeDocument/2006/relationships/hyperlink" Target="https://www.niea.org/coronaviru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7D9-9B0E-4AD8-AC4B-EC36E137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Mirtha R. (ACF)</dc:creator>
  <cp:keywords/>
  <dc:description/>
  <cp:lastModifiedBy>Hovland, Jean (ACF)</cp:lastModifiedBy>
  <cp:revision>3</cp:revision>
  <dcterms:created xsi:type="dcterms:W3CDTF">2020-04-06T20:19:00Z</dcterms:created>
  <dcterms:modified xsi:type="dcterms:W3CDTF">2020-04-06T20:22:00Z</dcterms:modified>
</cp:coreProperties>
</file>