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0A" w:rsidRDefault="00DD0B0A" w:rsidP="00DD0B0A"/>
    <w:p w:rsidR="006B6F47" w:rsidRPr="00984A55" w:rsidRDefault="00DD0B0A" w:rsidP="00DD0B0A">
      <w:pPr>
        <w:rPr>
          <w:b/>
        </w:rPr>
      </w:pPr>
      <w:r w:rsidRPr="00984A55">
        <w:rPr>
          <w:b/>
        </w:rPr>
        <w:t>PTTC</w:t>
      </w:r>
      <w:r w:rsidR="00984A55" w:rsidRPr="00984A55">
        <w:rPr>
          <w:b/>
        </w:rPr>
        <w:t xml:space="preserve"> Topics: collapsed into groups</w:t>
      </w:r>
    </w:p>
    <w:p w:rsidR="006B6F47" w:rsidRPr="00984A55" w:rsidRDefault="006B6F47" w:rsidP="00DD0B0A">
      <w:pPr>
        <w:rPr>
          <w:b/>
        </w:rPr>
      </w:pPr>
      <w:r w:rsidRPr="00984A55">
        <w:rPr>
          <w:b/>
        </w:rPr>
        <w:t>Evidence-based Practices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 xml:space="preserve">Lacking of evidence-based strategies that can be delivered virtually w/fidelity 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Effectively implementing evidence-based prevention strategies virtually</w:t>
      </w:r>
    </w:p>
    <w:p w:rsidR="006B6F47" w:rsidRDefault="006B6F47" w:rsidP="00DD0B0A">
      <w:pPr>
        <w:pStyle w:val="ListParagraph"/>
        <w:numPr>
          <w:ilvl w:val="0"/>
          <w:numId w:val="6"/>
        </w:numPr>
      </w:pPr>
      <w:r>
        <w:t>Identifying approved adaptions for key EBP's for virtual</w:t>
      </w:r>
    </w:p>
    <w:p w:rsidR="006B6F47" w:rsidRPr="00984A55" w:rsidRDefault="006B6F47" w:rsidP="00DD0B0A">
      <w:pPr>
        <w:rPr>
          <w:b/>
        </w:rPr>
      </w:pPr>
      <w:r w:rsidRPr="00984A55">
        <w:rPr>
          <w:b/>
        </w:rPr>
        <w:t>General Topics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 xml:space="preserve">Risk/protective factors shifting: 1) Increase in ACEs: Many are very concerned that for some families, the stress is increasing substance misuse and domestic violence in the home.  2) Increases in alcohol and marijuana retail access: States in Region 9 have loosened alcohol and marijuana policies and regulations to allow for things like mixed drinks or other alcoholic beverages to-go with restaurant take-out orders and curbside pick-up at marijuana dispensaries. Evidence in California show that alcohol delivery does not check IDs correctly or consistently, allowing underage youth to purchase. There is substantial concern that </w:t>
      </w:r>
      <w:proofErr w:type="gramStart"/>
      <w:r>
        <w:t>these</w:t>
      </w:r>
      <w:proofErr w:type="gramEnd"/>
      <w:r>
        <w:t xml:space="preserve"> temporary allowances that prioritize business needs over public health and safety will become permanent changes to local or state laws and regulations.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Experiencing increases in substance use and depression in communities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Prevention professionals are experiencing barriers to evidence base intervention adaptations.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 xml:space="preserve">They </w:t>
      </w:r>
      <w:proofErr w:type="gramStart"/>
      <w:r>
        <w:t>don't</w:t>
      </w:r>
      <w:proofErr w:type="gramEnd"/>
      <w:r>
        <w:t xml:space="preserve"> have access to their focus populations. (i.e. schools)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Need for innovative strategies for Rx prevention beyond take-back programs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 xml:space="preserve">implementation 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Latino parents are essential workers and unable to be home with their children forcing children to take care of children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Inadequate information on how to access their State COVID-19 Emergency plan thus not knowing what resources to lean on.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 xml:space="preserve">Rising </w:t>
      </w:r>
      <w:proofErr w:type="gramStart"/>
      <w:r>
        <w:t>suicide</w:t>
      </w:r>
      <w:proofErr w:type="gramEnd"/>
      <w:r>
        <w:t xml:space="preserve"> rates and heighted domestic abuse / intimate partner violence with increased difficulty in reaching victims and others needing support. 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Self-Care for the Workforce</w:t>
      </w:r>
    </w:p>
    <w:p w:rsidR="006B6F47" w:rsidRDefault="00984A55" w:rsidP="006B6F47">
      <w:pPr>
        <w:pStyle w:val="ListParagraph"/>
        <w:numPr>
          <w:ilvl w:val="0"/>
          <w:numId w:val="6"/>
        </w:numPr>
      </w:pPr>
      <w:r>
        <w:t>Need to promote, model, and tailor self-care practices for the prevention workforce</w:t>
      </w:r>
    </w:p>
    <w:p w:rsidR="00984A55" w:rsidRDefault="00984A55" w:rsidP="00984A55">
      <w:pPr>
        <w:pStyle w:val="ListParagraph"/>
        <w:numPr>
          <w:ilvl w:val="0"/>
          <w:numId w:val="6"/>
        </w:numPr>
      </w:pPr>
      <w:r>
        <w:t>Need to build greater awareness of, and responsiveness to the isolating effect of COVID-19 on R10 rural/frontier and indigenous communities</w:t>
      </w:r>
    </w:p>
    <w:p w:rsidR="006B6F47" w:rsidRDefault="00984A55" w:rsidP="00DD0B0A">
      <w:pPr>
        <w:pStyle w:val="ListParagraph"/>
        <w:numPr>
          <w:ilvl w:val="0"/>
          <w:numId w:val="6"/>
        </w:numPr>
      </w:pPr>
      <w:r>
        <w:t>Need to collect or develop resources to help coalitions educate key leaders on the potential harms of making temporary alcohol allowances permanent, and coalition cohesion.</w:t>
      </w:r>
    </w:p>
    <w:p w:rsidR="001F5069" w:rsidRPr="00984A55" w:rsidRDefault="001F5069" w:rsidP="00DD0B0A">
      <w:pPr>
        <w:rPr>
          <w:b/>
        </w:rPr>
      </w:pPr>
      <w:r>
        <w:br/>
      </w:r>
      <w:r w:rsidRPr="00984A55">
        <w:rPr>
          <w:b/>
        </w:rPr>
        <w:t>Stakeholders Engagement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 xml:space="preserve">Connecting with and engaging key stakeholders virtually: (coalition members, youth who participate in programs (particular challenges exist with programs that were delivered in the schools or in after-school settings, and parents). This challenge exists for a few reasons: c) rural/frontier areas with limited Internet; b) lack of contact information for school-based youth participants and parents (or they can't access the contact information since they are working from home) 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State-level staff wants formal guidance on maintaining SYNAR compliance.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lastRenderedPageBreak/>
        <w:t xml:space="preserve">State and local level practitioners are concerned about their ability </w:t>
      </w:r>
      <w:proofErr w:type="gramStart"/>
      <w:r>
        <w:t>to comprehensively collect</w:t>
      </w:r>
      <w:proofErr w:type="gramEnd"/>
      <w:r>
        <w:t xml:space="preserve"> needs assessment and evaluation data.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State and local level practitioners are struggling to adapt in-person strategies to a virtual environment.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Youth and family engagement strategies during isolation</w:t>
      </w:r>
    </w:p>
    <w:p w:rsidR="006B6F47" w:rsidRDefault="006B6F47" w:rsidP="00984A55">
      <w:pPr>
        <w:pStyle w:val="ListParagraph"/>
        <w:ind w:left="360"/>
      </w:pPr>
    </w:p>
    <w:p w:rsidR="006B6F47" w:rsidRPr="00984A55" w:rsidRDefault="006B6F47" w:rsidP="006B6F47">
      <w:pPr>
        <w:pStyle w:val="ListParagraph"/>
        <w:ind w:left="360" w:hanging="360"/>
        <w:rPr>
          <w:b/>
        </w:rPr>
      </w:pPr>
      <w:r w:rsidRPr="00984A55">
        <w:rPr>
          <w:b/>
        </w:rPr>
        <w:t xml:space="preserve">Fiscal 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Support in how to advocate for the role of prevention during budget restraints due to the pandemic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Support in addressing post pandemic issues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Fiscal difficulties, such as cuts in agency funding and extra expenses for cleaning and PPE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Financial fear.  Fear of eviction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Financial Sustainability of Organizations</w:t>
      </w:r>
    </w:p>
    <w:p w:rsidR="006B6F47" w:rsidRDefault="006B6F47" w:rsidP="00984A55">
      <w:pPr>
        <w:pStyle w:val="ListParagraph"/>
        <w:ind w:left="360"/>
      </w:pPr>
    </w:p>
    <w:p w:rsidR="001F5069" w:rsidRPr="00984A55" w:rsidRDefault="001F5069" w:rsidP="006B6F47">
      <w:pPr>
        <w:rPr>
          <w:b/>
        </w:rPr>
      </w:pPr>
      <w:r w:rsidRPr="00984A55">
        <w:rPr>
          <w:b/>
        </w:rPr>
        <w:t>Transition to Vir</w:t>
      </w:r>
      <w:r w:rsidR="006B6F47" w:rsidRPr="00984A55">
        <w:rPr>
          <w:b/>
        </w:rPr>
        <w:t>tual</w:t>
      </w:r>
    </w:p>
    <w:p w:rsidR="00212EE2" w:rsidRDefault="00DD0B0A" w:rsidP="00DD0B0A">
      <w:pPr>
        <w:pStyle w:val="ListParagraph"/>
        <w:numPr>
          <w:ilvl w:val="0"/>
          <w:numId w:val="6"/>
        </w:numPr>
      </w:pPr>
      <w:r>
        <w:t>Barriers to providing prevention services due to technology access for individuals.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 xml:space="preserve">Virtual Community Engagement 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Effectively implementing evidence-based prevention strategies virtually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Resources and training on how to bring prevention virtual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 xml:space="preserve">Access to technology (laptops, internet, printers, scanners) is not consistent across the workforce while telecommuting </w:t>
      </w:r>
    </w:p>
    <w:p w:rsidR="006B6F47" w:rsidRDefault="006B6F47" w:rsidP="00DD0B0A">
      <w:pPr>
        <w:pStyle w:val="ListParagraph"/>
        <w:numPr>
          <w:ilvl w:val="0"/>
          <w:numId w:val="6"/>
        </w:numPr>
      </w:pPr>
      <w:r>
        <w:t>Identifying approved adaptions for key EBP's for virtual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Virtual program delivery and meeting facilitation:  Learning how to deliver evidence-based interventions (especially those that are curriculum-based and intended for school or after-school settings) virtually without losing the core components of each individual program and facilitation skills for coalition meetings held via video conferencing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Lack of access to internet, technology and equipment for schoolwork creating homework delays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 xml:space="preserve">Inadequate technology support for providers and community members, slow/limited internet connection on reservations and rural areas and limited tech-savviness among some populations limiting telehealth services such as ability to provide effective and confidential support for substance abuse prevention, mental health, suicide prevention </w:t>
      </w:r>
      <w:proofErr w:type="spellStart"/>
      <w:r>
        <w:t>etc</w:t>
      </w:r>
      <w:proofErr w:type="spellEnd"/>
      <w:r>
        <w:t xml:space="preserve"> via phone/ other virtual means that are HIPPA compliant.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Unable to have in-person conferences, and that's the main source of workforce development activities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Demonstrating how to do prevention in a virtual setting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How to reach youth, when school is virtual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Bringing prevention virtual: i.e. How to convert to virtual conferences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Disparities: technology access/alternatives, language barriers, socio-economic factors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Adapting the SAPST course to virtual format: (a) Convening SAPST trainers to better understand barriers with virtual training; (b) Developing tools to support trainers to deliver SAPST virtually; (c) Hosting an online learning community for peer-to-peer learning</w:t>
      </w:r>
    </w:p>
    <w:p w:rsidR="006B6F47" w:rsidRDefault="006B6F47" w:rsidP="006B6F47">
      <w:pPr>
        <w:pStyle w:val="ListParagraph"/>
        <w:numPr>
          <w:ilvl w:val="0"/>
          <w:numId w:val="6"/>
        </w:numPr>
      </w:pPr>
      <w:r>
        <w:t>Telehealth/ Challenges: Ethic of; Operations, Consumer and Peer Engagement</w:t>
      </w:r>
    </w:p>
    <w:p w:rsidR="000001C1" w:rsidRDefault="000001C1" w:rsidP="00984A55">
      <w:pPr>
        <w:rPr>
          <w:b/>
        </w:rPr>
      </w:pPr>
    </w:p>
    <w:p w:rsidR="00984A55" w:rsidRPr="00984A55" w:rsidRDefault="00984A55" w:rsidP="00984A55">
      <w:pPr>
        <w:rPr>
          <w:b/>
        </w:rPr>
      </w:pPr>
      <w:bookmarkStart w:id="0" w:name="_GoBack"/>
      <w:bookmarkEnd w:id="0"/>
      <w:r w:rsidRPr="00984A55">
        <w:rPr>
          <w:b/>
        </w:rPr>
        <w:lastRenderedPageBreak/>
        <w:t>School-based</w:t>
      </w:r>
    </w:p>
    <w:p w:rsidR="00984A55" w:rsidRDefault="00984A55" w:rsidP="00984A55">
      <w:pPr>
        <w:pStyle w:val="ListParagraph"/>
        <w:numPr>
          <w:ilvl w:val="0"/>
          <w:numId w:val="6"/>
        </w:numPr>
      </w:pPr>
      <w:r>
        <w:t>Difficulty in engaging with youth, especially though schools</w:t>
      </w:r>
    </w:p>
    <w:p w:rsidR="00984A55" w:rsidRDefault="00984A55" w:rsidP="00984A55">
      <w:pPr>
        <w:pStyle w:val="ListParagraph"/>
        <w:numPr>
          <w:ilvl w:val="0"/>
          <w:numId w:val="6"/>
        </w:numPr>
      </w:pPr>
      <w:r>
        <w:t>Back to School: staying connected with schools amidst their priorities due to COVID</w:t>
      </w:r>
    </w:p>
    <w:p w:rsidR="00984A55" w:rsidRDefault="00984A55" w:rsidP="00984A55">
      <w:pPr>
        <w:pStyle w:val="ListParagraph"/>
        <w:numPr>
          <w:ilvl w:val="0"/>
          <w:numId w:val="6"/>
        </w:numPr>
      </w:pPr>
      <w:r>
        <w:t>Transition back to school, opportunities for engagement</w:t>
      </w:r>
    </w:p>
    <w:p w:rsidR="00574F13" w:rsidRDefault="00574F13" w:rsidP="00984A55">
      <w:pPr>
        <w:pStyle w:val="ListParagraph"/>
        <w:ind w:left="360"/>
      </w:pPr>
    </w:p>
    <w:p w:rsidR="00984A55" w:rsidRDefault="00984A55" w:rsidP="00984A55">
      <w:pPr>
        <w:pStyle w:val="ListParagraph"/>
        <w:ind w:left="360"/>
      </w:pPr>
    </w:p>
    <w:p w:rsidR="00984A55" w:rsidRDefault="00984A55" w:rsidP="00984A55">
      <w:pPr>
        <w:pStyle w:val="ListParagraph"/>
        <w:ind w:left="0"/>
      </w:pPr>
      <w:r w:rsidRPr="00984A55">
        <w:rPr>
          <w:b/>
        </w:rPr>
        <w:t>PTTC Numbers</w:t>
      </w:r>
      <w:r>
        <w:t>:</w:t>
      </w:r>
    </w:p>
    <w:tbl>
      <w:tblPr>
        <w:tblW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720"/>
        <w:gridCol w:w="1100"/>
      </w:tblGrid>
      <w:tr w:rsidR="00984A55" w:rsidTr="00984A55">
        <w:trPr>
          <w:trHeight w:val="30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/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PTTC</w:t>
            </w:r>
          </w:p>
        </w:tc>
      </w:tr>
      <w:tr w:rsidR="00984A55" w:rsidTr="00984A55">
        <w:trPr>
          <w:trHeight w:val="615"/>
        </w:trPr>
        <w:tc>
          <w:tcPr>
            <w:tcW w:w="20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 of Events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984A55" w:rsidTr="00984A55">
        <w:trPr>
          <w:trHeight w:val="300"/>
        </w:trPr>
        <w:tc>
          <w:tcPr>
            <w:tcW w:w="20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 of Participants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10,303</w:t>
            </w:r>
          </w:p>
        </w:tc>
      </w:tr>
      <w:tr w:rsidR="00984A55" w:rsidTr="00984A55">
        <w:trPr>
          <w:trHeight w:val="30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A55" w:rsidTr="00984A55">
        <w:trPr>
          <w:trHeight w:val="30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A55" w:rsidTr="00984A55">
        <w:trPr>
          <w:trHeight w:val="30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A55" w:rsidTr="00984A55">
        <w:trPr>
          <w:trHeight w:val="30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PTTC</w:t>
            </w:r>
          </w:p>
        </w:tc>
      </w:tr>
      <w:tr w:rsidR="00984A55" w:rsidTr="00984A55">
        <w:trPr>
          <w:trHeight w:val="300"/>
        </w:trPr>
        <w:tc>
          <w:tcPr>
            <w:tcW w:w="20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 of Products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984A55" w:rsidTr="00984A55">
        <w:trPr>
          <w:trHeight w:val="30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Product Type :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4A55" w:rsidTr="00984A55">
        <w:trPr>
          <w:trHeight w:val="129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Multimedia (Video, Webinar Recording, Podcast)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</w:t>
            </w:r>
          </w:p>
        </w:tc>
      </w:tr>
      <w:tr w:rsidR="00984A55" w:rsidTr="00984A55">
        <w:trPr>
          <w:trHeight w:val="60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eNewsletter</w:t>
            </w:r>
            <w:proofErr w:type="spellEnd"/>
            <w:r>
              <w:rPr>
                <w:i/>
                <w:iCs/>
                <w:color w:val="000000"/>
              </w:rPr>
              <w:t xml:space="preserve"> or Blog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</w:tr>
      <w:tr w:rsidR="00984A55" w:rsidTr="00984A55">
        <w:trPr>
          <w:trHeight w:val="60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Presentation Slides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</w:tr>
      <w:tr w:rsidR="00984A55" w:rsidTr="00984A55">
        <w:trPr>
          <w:trHeight w:val="120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 Media (Brochure, Monograph, Report, Poster)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</w:t>
            </w:r>
          </w:p>
        </w:tc>
      </w:tr>
      <w:tr w:rsidR="00984A55" w:rsidTr="00984A55">
        <w:trPr>
          <w:trHeight w:val="60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Curriculum Package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</w:tr>
      <w:tr w:rsidR="00984A55" w:rsidTr="00984A55">
        <w:trPr>
          <w:trHeight w:val="60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Interactive Resource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984A55" w:rsidTr="00984A55">
        <w:trPr>
          <w:trHeight w:val="30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Toolkit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984A55" w:rsidTr="00984A55">
        <w:trPr>
          <w:trHeight w:val="30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Other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984A55" w:rsidTr="00984A55">
        <w:trPr>
          <w:trHeight w:val="30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Website</w:t>
            </w: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984A55" w:rsidTr="00984A55">
        <w:trPr>
          <w:trHeight w:val="300"/>
        </w:trPr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i/>
                <w:iCs/>
                <w:color w:val="000000"/>
              </w:rPr>
            </w:pPr>
          </w:p>
        </w:tc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A55" w:rsidRDefault="00984A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4A55" w:rsidRDefault="00984A55" w:rsidP="00984A55">
      <w:pPr>
        <w:pStyle w:val="ListParagraph"/>
        <w:ind w:left="0"/>
      </w:pPr>
    </w:p>
    <w:sectPr w:rsidR="0098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848"/>
    <w:multiLevelType w:val="multilevel"/>
    <w:tmpl w:val="71B8F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A7D25"/>
    <w:multiLevelType w:val="multilevel"/>
    <w:tmpl w:val="71B8F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F3B18"/>
    <w:multiLevelType w:val="multilevel"/>
    <w:tmpl w:val="71B8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D0F29"/>
    <w:multiLevelType w:val="multilevel"/>
    <w:tmpl w:val="71B8F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00E30"/>
    <w:multiLevelType w:val="multilevel"/>
    <w:tmpl w:val="DD4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30794C"/>
    <w:multiLevelType w:val="multilevel"/>
    <w:tmpl w:val="651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8F"/>
    <w:rsid w:val="000001C1"/>
    <w:rsid w:val="001E408F"/>
    <w:rsid w:val="001F5069"/>
    <w:rsid w:val="00212EE2"/>
    <w:rsid w:val="00574F13"/>
    <w:rsid w:val="006B6F47"/>
    <w:rsid w:val="007E6F9A"/>
    <w:rsid w:val="00984A55"/>
    <w:rsid w:val="00D11E83"/>
    <w:rsid w:val="00DC0F1B"/>
    <w:rsid w:val="00DD0B0A"/>
    <w:rsid w:val="00F853D8"/>
    <w:rsid w:val="00F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B78F"/>
  <w15:chartTrackingRefBased/>
  <w15:docId w15:val="{7F800427-5E06-44ED-94F4-C0FCC7FA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408F"/>
    <w:rPr>
      <w:b/>
      <w:bCs/>
    </w:rPr>
  </w:style>
  <w:style w:type="paragraph" w:styleId="ListParagraph">
    <w:name w:val="List Paragraph"/>
    <w:basedOn w:val="Normal"/>
    <w:uiPriority w:val="34"/>
    <w:qFormat/>
    <w:rsid w:val="001E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Hagle, Holly</cp:lastModifiedBy>
  <cp:revision>4</cp:revision>
  <dcterms:created xsi:type="dcterms:W3CDTF">2020-09-01T18:59:00Z</dcterms:created>
  <dcterms:modified xsi:type="dcterms:W3CDTF">2020-09-01T19:16:00Z</dcterms:modified>
</cp:coreProperties>
</file>