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1496A" w14:textId="77777777" w:rsidR="00F7349C" w:rsidRDefault="00F7349C">
      <w:pPr>
        <w:rPr>
          <w:b/>
          <w:bCs/>
        </w:rPr>
      </w:pPr>
    </w:p>
    <w:p w14:paraId="0679DEF0" w14:textId="6B0535E4" w:rsidR="41576923" w:rsidRDefault="41576923">
      <w:r w:rsidRPr="55EAD664">
        <w:rPr>
          <w:b/>
          <w:bCs/>
        </w:rPr>
        <w:t xml:space="preserve">Working Group </w:t>
      </w:r>
      <w:r w:rsidR="35522E76" w:rsidRPr="55EAD664">
        <w:rPr>
          <w:b/>
          <w:bCs/>
        </w:rPr>
        <w:t xml:space="preserve">Year 2 </w:t>
      </w:r>
      <w:r w:rsidR="5E468FA3" w:rsidRPr="55EAD664">
        <w:rPr>
          <w:b/>
          <w:bCs/>
        </w:rPr>
        <w:t>Descriptions</w:t>
      </w:r>
      <w:r w:rsidR="07AE2141" w:rsidRPr="55EAD664">
        <w:rPr>
          <w:b/>
          <w:bCs/>
        </w:rPr>
        <w:t xml:space="preserve"> and Products</w:t>
      </w:r>
      <w:r>
        <w:br/>
      </w:r>
      <w:r w:rsidR="1532990F">
        <w:t>Updated 10.1.2020</w:t>
      </w:r>
    </w:p>
    <w:p w14:paraId="3BE4E837" w14:textId="493A295F" w:rsidR="502130BE" w:rsidRPr="00C7749F" w:rsidRDefault="005C2FED" w:rsidP="00C7749F">
      <w:pPr>
        <w:rPr>
          <w:b/>
        </w:rPr>
      </w:pPr>
      <w:hyperlink r:id="rId10" w:history="1">
        <w:r w:rsidR="502130BE" w:rsidRPr="003058A0">
          <w:rPr>
            <w:rStyle w:val="Hyperlink"/>
            <w:b/>
          </w:rPr>
          <w:t>Marijuana Risk Working Group</w:t>
        </w:r>
      </w:hyperlink>
      <w:r w:rsidR="003058A0">
        <w:rPr>
          <w:b/>
        </w:rPr>
        <w:t xml:space="preserve">: </w:t>
      </w:r>
      <w:r w:rsidR="003058A0" w:rsidRPr="003058A0">
        <w:t>The Marijuana Risk Working Group (WG) exists to develop training and technical assistance tools, products, and service, related specifically to marijuana risk education and prevention, that can be deployed across the PTTC Network.</w:t>
      </w:r>
      <w:r w:rsidR="003058A0" w:rsidRPr="003058A0">
        <w:rPr>
          <w:b/>
        </w:rPr>
        <w:t xml:space="preserve">  </w:t>
      </w:r>
    </w:p>
    <w:p w14:paraId="158872B1" w14:textId="6D5A1F58" w:rsidR="003058A0" w:rsidRDefault="005C2FED" w:rsidP="003058A0">
      <w:pPr>
        <w:pStyle w:val="ListParagraph"/>
        <w:numPr>
          <w:ilvl w:val="0"/>
          <w:numId w:val="2"/>
        </w:numPr>
      </w:pPr>
      <w:hyperlink r:id="rId11" w:history="1">
        <w:r w:rsidR="003058A0" w:rsidRPr="003058A0">
          <w:rPr>
            <w:rStyle w:val="Hyperlink"/>
          </w:rPr>
          <w:t>Marijuana Prevention and Education Toolkit</w:t>
        </w:r>
      </w:hyperlink>
    </w:p>
    <w:p w14:paraId="241BD5AD" w14:textId="5E0E7340" w:rsidR="003058A0" w:rsidRDefault="003058A0" w:rsidP="003058A0">
      <w:pPr>
        <w:pStyle w:val="ListParagraph"/>
        <w:numPr>
          <w:ilvl w:val="0"/>
          <w:numId w:val="2"/>
        </w:numPr>
      </w:pPr>
      <w:r>
        <w:t xml:space="preserve">Webinar: </w:t>
      </w:r>
      <w:hyperlink r:id="rId12" w:history="1">
        <w:r w:rsidRPr="003058A0">
          <w:rPr>
            <w:rStyle w:val="Hyperlink"/>
          </w:rPr>
          <w:t>Research, Policies, and Practices: Federal and Community-level Perspectives on Vaping</w:t>
        </w:r>
      </w:hyperlink>
    </w:p>
    <w:p w14:paraId="6B78AC9F" w14:textId="73A499B4" w:rsidR="2171C1FD" w:rsidRPr="00C7749F" w:rsidRDefault="005C2FED" w:rsidP="00C7749F">
      <w:pPr>
        <w:rPr>
          <w:b/>
        </w:rPr>
      </w:pPr>
      <w:hyperlink r:id="rId13" w:history="1">
        <w:r w:rsidR="2171C1FD" w:rsidRPr="006507C6">
          <w:rPr>
            <w:rStyle w:val="Hyperlink"/>
            <w:b/>
          </w:rPr>
          <w:t>Community Coalitions and Collaborators</w:t>
        </w:r>
      </w:hyperlink>
      <w:r w:rsidR="003058A0">
        <w:rPr>
          <w:b/>
        </w:rPr>
        <w:t xml:space="preserve">: </w:t>
      </w:r>
      <w:r w:rsidR="003058A0" w:rsidRPr="003058A0">
        <w:t>The Community Coalitions and Collaborators (C3) Working Group (WG) exists to develop training and technical assistance tools, products, and services on effective community coalitions and collaborations, to be deployed across the PTTC network to increase the capacity of prevention coalitions and collaborators to reduce substance misuse outcomes.</w:t>
      </w:r>
    </w:p>
    <w:p w14:paraId="0CD3EBB8" w14:textId="1749F55C" w:rsidR="2171C1FD" w:rsidRDefault="003058A0" w:rsidP="003058A0">
      <w:pPr>
        <w:pStyle w:val="ListParagraph"/>
        <w:numPr>
          <w:ilvl w:val="0"/>
          <w:numId w:val="1"/>
        </w:numPr>
      </w:pPr>
      <w:r>
        <w:t xml:space="preserve">Webinar: </w:t>
      </w:r>
      <w:hyperlink r:id="rId14" w:history="1">
        <w:r w:rsidR="2171C1FD" w:rsidRPr="003058A0">
          <w:rPr>
            <w:rStyle w:val="Hyperlink"/>
          </w:rPr>
          <w:t>Six Elements of Effective Coalitions</w:t>
        </w:r>
      </w:hyperlink>
      <w:r>
        <w:t xml:space="preserve">, </w:t>
      </w:r>
      <w:hyperlink r:id="rId15" w:history="1">
        <w:r w:rsidRPr="003058A0">
          <w:rPr>
            <w:rStyle w:val="Hyperlink"/>
          </w:rPr>
          <w:t>infographic</w:t>
        </w:r>
      </w:hyperlink>
      <w:r w:rsidR="00C7749F">
        <w:t xml:space="preserve"> </w:t>
      </w:r>
    </w:p>
    <w:p w14:paraId="28981401" w14:textId="43DECE35" w:rsidR="003058A0" w:rsidRDefault="003058A0" w:rsidP="003058A0">
      <w:pPr>
        <w:pStyle w:val="ListParagraph"/>
        <w:numPr>
          <w:ilvl w:val="0"/>
          <w:numId w:val="1"/>
        </w:numPr>
      </w:pPr>
      <w:r>
        <w:t xml:space="preserve">Webinar: </w:t>
      </w:r>
      <w:hyperlink r:id="rId16" w:history="1">
        <w:r w:rsidRPr="003058A0">
          <w:rPr>
            <w:rStyle w:val="Hyperlink"/>
          </w:rPr>
          <w:t>Six Elements of Effective Coalitions Series: Diverse Stakeholders &amp; Opportunities for Participation</w:t>
        </w:r>
      </w:hyperlink>
    </w:p>
    <w:p w14:paraId="55482712" w14:textId="3B9B7632" w:rsidR="2171C1FD" w:rsidRPr="003058A0" w:rsidRDefault="005C2FED" w:rsidP="00C7749F">
      <w:pPr>
        <w:rPr>
          <w:b/>
        </w:rPr>
      </w:pPr>
      <w:hyperlink r:id="rId17" w:history="1">
        <w:r w:rsidR="2171C1FD" w:rsidRPr="0025607B">
          <w:rPr>
            <w:rStyle w:val="Hyperlink"/>
            <w:b/>
          </w:rPr>
          <w:t xml:space="preserve">Evidence Based Intervention Work </w:t>
        </w:r>
        <w:r w:rsidR="7F547DC7" w:rsidRPr="0025607B">
          <w:rPr>
            <w:rStyle w:val="Hyperlink"/>
            <w:b/>
          </w:rPr>
          <w:t>Group</w:t>
        </w:r>
      </w:hyperlink>
      <w:r w:rsidR="0025607B">
        <w:rPr>
          <w:b/>
        </w:rPr>
        <w:t xml:space="preserve">: </w:t>
      </w:r>
      <w:r w:rsidR="0025607B" w:rsidRPr="0025607B">
        <w:t>The Evidenced-Based Working Group (WG) exists to promote the effective selection and implementation of evidence-based interventions for prevention professionals and stakeholders, in order to provide services with fidelity that are culturally intelligent and result in positive outcomes.</w:t>
      </w:r>
    </w:p>
    <w:p w14:paraId="7F987CDA" w14:textId="3C6FCC06" w:rsidR="2171C1FD" w:rsidRDefault="003058A0" w:rsidP="003058A0">
      <w:pPr>
        <w:pStyle w:val="ListParagraph"/>
        <w:numPr>
          <w:ilvl w:val="0"/>
          <w:numId w:val="1"/>
        </w:numPr>
      </w:pPr>
      <w:r>
        <w:t>Webinar:</w:t>
      </w:r>
      <w:r w:rsidR="2171C1FD">
        <w:t xml:space="preserve"> </w:t>
      </w:r>
      <w:hyperlink r:id="rId18" w:history="1">
        <w:r w:rsidR="2171C1FD" w:rsidRPr="0025607B">
          <w:rPr>
            <w:rStyle w:val="Hyperlink"/>
          </w:rPr>
          <w:t xml:space="preserve">Using Environmental Strategies to Reduce </w:t>
        </w:r>
        <w:r w:rsidR="724CFCCD" w:rsidRPr="0025607B">
          <w:rPr>
            <w:rStyle w:val="Hyperlink"/>
          </w:rPr>
          <w:t>Substance Use</w:t>
        </w:r>
      </w:hyperlink>
      <w:r>
        <w:t>,</w:t>
      </w:r>
      <w:r w:rsidR="2171C1FD">
        <w:t xml:space="preserve"> </w:t>
      </w:r>
      <w:r>
        <w:t>&amp; L</w:t>
      </w:r>
      <w:r w:rsidR="2171C1FD">
        <w:t>earning Lab</w:t>
      </w:r>
    </w:p>
    <w:p w14:paraId="14EDC438" w14:textId="38FE33CA" w:rsidR="0025607B" w:rsidRDefault="0025607B" w:rsidP="003058A0">
      <w:pPr>
        <w:pStyle w:val="ListParagraph"/>
        <w:numPr>
          <w:ilvl w:val="0"/>
          <w:numId w:val="1"/>
        </w:numPr>
      </w:pPr>
      <w:r>
        <w:t xml:space="preserve">Webinar: </w:t>
      </w:r>
      <w:hyperlink r:id="rId19" w:history="1">
        <w:r w:rsidRPr="0025607B">
          <w:rPr>
            <w:rStyle w:val="Hyperlink"/>
          </w:rPr>
          <w:t>Evidence-Based Prevention Science: Applying Prevention Science to Practice: A Collaborative Opportunity</w:t>
        </w:r>
      </w:hyperlink>
      <w:r w:rsidR="00DC6135">
        <w:t>, &amp; Learning Lab</w:t>
      </w:r>
    </w:p>
    <w:p w14:paraId="27ED6545" w14:textId="0E01D253" w:rsidR="0025607B" w:rsidRPr="0025607B" w:rsidRDefault="003058A0" w:rsidP="003058A0">
      <w:pPr>
        <w:pStyle w:val="ListParagraph"/>
        <w:numPr>
          <w:ilvl w:val="0"/>
          <w:numId w:val="1"/>
        </w:numPr>
      </w:pPr>
      <w:r>
        <w:t>Webinar:</w:t>
      </w:r>
      <w:r w:rsidR="2171C1FD">
        <w:t xml:space="preserve"> </w:t>
      </w:r>
      <w:hyperlink r:id="rId20" w:history="1">
        <w:r w:rsidR="0025607B" w:rsidRPr="0025607B">
          <w:rPr>
            <w:rStyle w:val="Hyperlink"/>
          </w:rPr>
          <w:t>Applying Prevention Science to Practice Series: Strategic Fit and Evidence-Based Practices in Today’s Prevention Landscape</w:t>
        </w:r>
      </w:hyperlink>
      <w:r w:rsidR="00DC6135">
        <w:t>, &amp; Learning Lab</w:t>
      </w:r>
      <w:bookmarkStart w:id="0" w:name="_GoBack"/>
      <w:bookmarkEnd w:id="0"/>
    </w:p>
    <w:p w14:paraId="52B82F58" w14:textId="7D42F00C" w:rsidR="2171C1FD" w:rsidRDefault="005C2FED" w:rsidP="003058A0">
      <w:pPr>
        <w:pStyle w:val="ListParagraph"/>
        <w:numPr>
          <w:ilvl w:val="0"/>
          <w:numId w:val="1"/>
        </w:numPr>
      </w:pPr>
      <w:hyperlink r:id="rId21" w:history="1">
        <w:r w:rsidR="0025607B" w:rsidRPr="0025607B">
          <w:rPr>
            <w:rStyle w:val="Hyperlink"/>
          </w:rPr>
          <w:t>Quick guide for adapting evidence-based interventions</w:t>
        </w:r>
      </w:hyperlink>
      <w:r w:rsidR="2171C1FD">
        <w:br/>
      </w:r>
    </w:p>
    <w:p w14:paraId="7591BD2E" w14:textId="3B8FA86C" w:rsidR="0025607B" w:rsidRDefault="005C2FED" w:rsidP="003058A0">
      <w:pPr>
        <w:rPr>
          <w:b/>
        </w:rPr>
      </w:pPr>
      <w:hyperlink r:id="rId22" w:history="1">
        <w:r w:rsidR="0025607B" w:rsidRPr="0025607B">
          <w:rPr>
            <w:rStyle w:val="Hyperlink"/>
            <w:b/>
          </w:rPr>
          <w:t>Culturally and Linguistically Appropriate Practices</w:t>
        </w:r>
      </w:hyperlink>
      <w:r w:rsidR="0025607B">
        <w:rPr>
          <w:b/>
        </w:rPr>
        <w:t xml:space="preserve">: </w:t>
      </w:r>
      <w:r w:rsidR="0025607B" w:rsidRPr="0025607B">
        <w:t>The PTTC Culturally and Linguistically Appropriate Practices Working Group (WG) exists to improve the quality of services provided by the substance misuse prevention workforce in order to reduce health disparities and achieve health equity so that all individuals receiving prevention services feel acknowledged and respected.</w:t>
      </w:r>
    </w:p>
    <w:p w14:paraId="028F7EF8" w14:textId="77777777" w:rsidR="0025607B" w:rsidRPr="0025607B" w:rsidRDefault="005C2FED" w:rsidP="0025607B">
      <w:pPr>
        <w:pStyle w:val="ListParagraph"/>
        <w:numPr>
          <w:ilvl w:val="0"/>
          <w:numId w:val="5"/>
        </w:numPr>
      </w:pPr>
      <w:hyperlink r:id="rId23" w:history="1">
        <w:r w:rsidR="0025607B" w:rsidRPr="0025607B">
          <w:rPr>
            <w:rStyle w:val="Hyperlink"/>
          </w:rPr>
          <w:t>Building Health Equity and Inclusion Online Repository</w:t>
        </w:r>
      </w:hyperlink>
      <w:r w:rsidR="0025607B" w:rsidRPr="0025607B">
        <w:t> </w:t>
      </w:r>
    </w:p>
    <w:p w14:paraId="27EF47CD" w14:textId="77777777" w:rsidR="0025607B" w:rsidRPr="0025607B" w:rsidRDefault="005C2FED" w:rsidP="0025607B">
      <w:pPr>
        <w:pStyle w:val="ListParagraph"/>
        <w:numPr>
          <w:ilvl w:val="0"/>
          <w:numId w:val="5"/>
        </w:numPr>
      </w:pPr>
      <w:hyperlink r:id="rId24" w:history="1">
        <w:r w:rsidR="0025607B" w:rsidRPr="0025607B">
          <w:rPr>
            <w:rStyle w:val="Hyperlink"/>
          </w:rPr>
          <w:t>Section 508 Compliance Fact Sheet</w:t>
        </w:r>
      </w:hyperlink>
    </w:p>
    <w:p w14:paraId="009C08A2" w14:textId="0F5B1ED8" w:rsidR="0025607B" w:rsidRPr="0025607B" w:rsidRDefault="0025607B" w:rsidP="0025607B">
      <w:pPr>
        <w:pStyle w:val="ListParagraph"/>
        <w:numPr>
          <w:ilvl w:val="0"/>
          <w:numId w:val="5"/>
        </w:numPr>
      </w:pPr>
      <w:r w:rsidRPr="0025607B">
        <w:t xml:space="preserve">Webinar: </w:t>
      </w:r>
      <w:hyperlink r:id="rId25" w:history="1">
        <w:r w:rsidRPr="0025607B">
          <w:rPr>
            <w:rStyle w:val="Hyperlink"/>
          </w:rPr>
          <w:t>Intro to 508 Compliance: Understanding the Importance of Accessibility in Prevention</w:t>
        </w:r>
      </w:hyperlink>
    </w:p>
    <w:p w14:paraId="113D06A9" w14:textId="2B1CCF04" w:rsidR="0025607B" w:rsidRPr="0025607B" w:rsidRDefault="0025607B" w:rsidP="0025607B">
      <w:pPr>
        <w:pStyle w:val="ListParagraph"/>
        <w:numPr>
          <w:ilvl w:val="0"/>
          <w:numId w:val="5"/>
        </w:numPr>
      </w:pPr>
      <w:r w:rsidRPr="0025607B">
        <w:t xml:space="preserve">Webinar Series: </w:t>
      </w:r>
      <w:hyperlink r:id="rId26" w:history="1">
        <w:r w:rsidRPr="0025607B">
          <w:rPr>
            <w:rStyle w:val="Hyperlink"/>
          </w:rPr>
          <w:t>Emerging Issues Around COVID-19 and Social Determinants of Health for the Substance Use Prevention, Treatment, and Recovery Workforces</w:t>
        </w:r>
      </w:hyperlink>
    </w:p>
    <w:p w14:paraId="3BB93144" w14:textId="40659B14" w:rsidR="2171C1FD" w:rsidRPr="003058A0" w:rsidRDefault="005C2FED" w:rsidP="003058A0">
      <w:pPr>
        <w:rPr>
          <w:b/>
        </w:rPr>
      </w:pPr>
      <w:hyperlink r:id="rId27" w:history="1">
        <w:r w:rsidR="2171C1FD" w:rsidRPr="0025607B">
          <w:rPr>
            <w:rStyle w:val="Hyperlink"/>
            <w:b/>
          </w:rPr>
          <w:t>Data Informed Decisions</w:t>
        </w:r>
      </w:hyperlink>
      <w:r w:rsidR="2171C1FD" w:rsidRPr="003058A0">
        <w:rPr>
          <w:b/>
        </w:rPr>
        <w:t xml:space="preserve"> </w:t>
      </w:r>
    </w:p>
    <w:p w14:paraId="61360A36" w14:textId="733C8A05" w:rsidR="0025607B" w:rsidRPr="0025607B" w:rsidRDefault="003058A0" w:rsidP="0025607B">
      <w:pPr>
        <w:pStyle w:val="ListParagraph"/>
        <w:numPr>
          <w:ilvl w:val="0"/>
          <w:numId w:val="4"/>
        </w:numPr>
      </w:pPr>
      <w:r>
        <w:t>Podcast</w:t>
      </w:r>
      <w:r w:rsidR="0025607B">
        <w:t xml:space="preserve">: </w:t>
      </w:r>
      <w:hyperlink r:id="rId28" w:history="1">
        <w:r w:rsidR="0025607B" w:rsidRPr="0025607B">
          <w:rPr>
            <w:rStyle w:val="Hyperlink"/>
          </w:rPr>
          <w:t>The Data Dive: Episode 1</w:t>
        </w:r>
      </w:hyperlink>
      <w:r w:rsidR="0025607B">
        <w:t xml:space="preserve">. </w:t>
      </w:r>
      <w:hyperlink r:id="rId29" w:tgtFrame="_blank" w:history="1">
        <w:r w:rsidR="0025607B" w:rsidRPr="0025607B">
          <w:rPr>
            <w:rStyle w:val="Hyperlink"/>
            <w:b/>
            <w:bCs/>
          </w:rPr>
          <w:t>Assessment Prioritization Companion</w:t>
        </w:r>
      </w:hyperlink>
    </w:p>
    <w:p w14:paraId="70923476" w14:textId="77777777" w:rsidR="00C555B1" w:rsidRDefault="00C555B1" w:rsidP="00C555B1">
      <w:pPr>
        <w:pStyle w:val="ListParagraph"/>
      </w:pPr>
    </w:p>
    <w:p w14:paraId="584CA91F" w14:textId="201C165A" w:rsidR="0025607B" w:rsidRDefault="0025607B" w:rsidP="0025607B">
      <w:pPr>
        <w:pStyle w:val="ListParagraph"/>
        <w:numPr>
          <w:ilvl w:val="0"/>
          <w:numId w:val="4"/>
        </w:numPr>
      </w:pPr>
      <w:r>
        <w:t xml:space="preserve">Podcast: </w:t>
      </w:r>
      <w:hyperlink r:id="rId30" w:history="1">
        <w:r w:rsidRPr="0025607B">
          <w:rPr>
            <w:rStyle w:val="Hyperlink"/>
          </w:rPr>
          <w:t>The Data Dive: Episode 2</w:t>
        </w:r>
      </w:hyperlink>
      <w:r>
        <w:t xml:space="preserve">. </w:t>
      </w:r>
      <w:hyperlink r:id="rId31" w:tgtFrame="_blank" w:history="1">
        <w:r w:rsidRPr="0025607B">
          <w:rPr>
            <w:rStyle w:val="Hyperlink"/>
            <w:b/>
            <w:bCs/>
          </w:rPr>
          <w:t>Needs Assessment Infographic</w:t>
        </w:r>
      </w:hyperlink>
    </w:p>
    <w:p w14:paraId="25FBD3AA" w14:textId="77777777" w:rsidR="007406A2" w:rsidRDefault="007406A2" w:rsidP="003058A0">
      <w:pPr>
        <w:pStyle w:val="ListParagraph"/>
        <w:numPr>
          <w:ilvl w:val="0"/>
          <w:numId w:val="4"/>
        </w:numPr>
      </w:pPr>
      <w:r>
        <w:t xml:space="preserve">Webinar: </w:t>
      </w:r>
      <w:hyperlink r:id="rId32" w:history="1">
        <w:r w:rsidRPr="007406A2">
          <w:rPr>
            <w:rStyle w:val="Hyperlink"/>
          </w:rPr>
          <w:t>Completing the Data Puzzle: Identifying Assessment Gaps</w:t>
        </w:r>
      </w:hyperlink>
    </w:p>
    <w:p w14:paraId="0B2425B0" w14:textId="74324441" w:rsidR="7D5FBDBD" w:rsidRPr="007406A2" w:rsidRDefault="005C2FED" w:rsidP="007406A2">
      <w:hyperlink r:id="rId33" w:history="1">
        <w:r w:rsidR="003058A0" w:rsidRPr="0052362A">
          <w:rPr>
            <w:rStyle w:val="Hyperlink"/>
            <w:b/>
          </w:rPr>
          <w:t>Workforce Development</w:t>
        </w:r>
      </w:hyperlink>
      <w:r w:rsidR="007406A2">
        <w:rPr>
          <w:b/>
        </w:rPr>
        <w:t xml:space="preserve">: </w:t>
      </w:r>
      <w:r w:rsidR="007406A2" w:rsidRPr="007406A2">
        <w:t>The Workforce Development Workgroup exists to identify and support the collective needs of the Prevention Workforce through the development and adaptation of cultural and linguistically appropriate training products and services that are foundational to the field of prevention across the U.S. These resources will be deployed across the PTTC Network and its stakeholders to increase the understanding of prevention science and the skills of the prevention workforce.  Thus, practitioners and collaborators can deliver quality and effective prevention services to reduce substance misuse.</w:t>
      </w:r>
    </w:p>
    <w:p w14:paraId="7EB01978" w14:textId="44CE0495" w:rsidR="007406A2" w:rsidRPr="007406A2" w:rsidRDefault="005C2FED" w:rsidP="007406A2">
      <w:pPr>
        <w:pStyle w:val="ListParagraph"/>
        <w:numPr>
          <w:ilvl w:val="0"/>
          <w:numId w:val="1"/>
        </w:numPr>
        <w:rPr>
          <w:rStyle w:val="Hyperlink"/>
          <w:color w:val="auto"/>
          <w:u w:val="none"/>
        </w:rPr>
      </w:pPr>
      <w:hyperlink r:id="rId34">
        <w:r w:rsidR="007406A2" w:rsidRPr="1E858FC6">
          <w:rPr>
            <w:rStyle w:val="Hyperlink"/>
          </w:rPr>
          <w:t>SAPST Trainer Learning Community</w:t>
        </w:r>
      </w:hyperlink>
    </w:p>
    <w:p w14:paraId="2E92A8DD" w14:textId="377372EA" w:rsidR="007406A2" w:rsidRDefault="005C2FED" w:rsidP="007406A2">
      <w:pPr>
        <w:pStyle w:val="ListParagraph"/>
        <w:numPr>
          <w:ilvl w:val="0"/>
          <w:numId w:val="1"/>
        </w:numPr>
      </w:pPr>
      <w:hyperlink r:id="rId35" w:history="1">
        <w:r w:rsidR="007406A2" w:rsidRPr="007406A2">
          <w:rPr>
            <w:rStyle w:val="Hyperlink"/>
          </w:rPr>
          <w:t>PTTC Network Support for SAPST</w:t>
        </w:r>
      </w:hyperlink>
      <w:r w:rsidR="007406A2">
        <w:t xml:space="preserve">. </w:t>
      </w:r>
      <w:hyperlink r:id="rId36" w:tooltip="link to statement" w:history="1">
        <w:r w:rsidR="007406A2" w:rsidRPr="007406A2">
          <w:rPr>
            <w:rStyle w:val="Hyperlink"/>
            <w:bCs/>
          </w:rPr>
          <w:t>Support for the Virtual SAPST Statement</w:t>
        </w:r>
      </w:hyperlink>
      <w:r w:rsidR="007406A2" w:rsidRPr="007406A2">
        <w:t>.</w:t>
      </w:r>
    </w:p>
    <w:p w14:paraId="6AD8A2E0" w14:textId="6100E3B8" w:rsidR="5CA0D10A" w:rsidRDefault="5CA0D10A" w:rsidP="003058A0">
      <w:pPr>
        <w:pStyle w:val="ListParagraph"/>
        <w:numPr>
          <w:ilvl w:val="0"/>
          <w:numId w:val="1"/>
        </w:numPr>
        <w:rPr>
          <w:rFonts w:eastAsiaTheme="minorEastAsia"/>
        </w:rPr>
      </w:pPr>
      <w:r>
        <w:t xml:space="preserve">SAPST and Ethics discussions on delivery and </w:t>
      </w:r>
      <w:r w:rsidR="65A0A9F0">
        <w:t>transition</w:t>
      </w:r>
      <w:r>
        <w:t xml:space="preserve"> to virtual with mandated courses.</w:t>
      </w:r>
    </w:p>
    <w:p w14:paraId="7DB06517" w14:textId="7A4FACBB" w:rsidR="5CA0D10A" w:rsidRDefault="5CA0D10A" w:rsidP="003058A0">
      <w:pPr>
        <w:pStyle w:val="ListParagraph"/>
        <w:numPr>
          <w:ilvl w:val="0"/>
          <w:numId w:val="1"/>
        </w:numPr>
      </w:pPr>
      <w:r>
        <w:t>Marketed through Centers –56 registrants approved as of May 26. This link provides demographic data of those trainers.</w:t>
      </w:r>
    </w:p>
    <w:p w14:paraId="4F2AF261" w14:textId="3E3CAE1F" w:rsidR="003058A0" w:rsidRPr="003058A0" w:rsidRDefault="5CA0D10A" w:rsidP="003058A0">
      <w:pPr>
        <w:pStyle w:val="ListParagraph"/>
        <w:numPr>
          <w:ilvl w:val="0"/>
          <w:numId w:val="1"/>
        </w:numPr>
        <w:rPr>
          <w:rFonts w:eastAsiaTheme="minorEastAsia"/>
          <w:b/>
        </w:rPr>
      </w:pPr>
      <w:r>
        <w:t>Using Basecamp –a popular question was delivering SAPST virtually (via Zoom).</w:t>
      </w:r>
    </w:p>
    <w:p w14:paraId="1E2F540A" w14:textId="367C0725" w:rsidR="01EA1C73" w:rsidRPr="003058A0" w:rsidRDefault="01EA1C73" w:rsidP="003058A0">
      <w:pPr>
        <w:rPr>
          <w:rFonts w:eastAsiaTheme="minorEastAsia"/>
          <w:b/>
        </w:rPr>
      </w:pPr>
      <w:r w:rsidRPr="003058A0">
        <w:rPr>
          <w:b/>
        </w:rPr>
        <w:t>COVID-19</w:t>
      </w:r>
      <w:r w:rsidR="003058A0" w:rsidRPr="003058A0">
        <w:rPr>
          <w:b/>
        </w:rPr>
        <w:t xml:space="preserve"> </w:t>
      </w:r>
      <w:r w:rsidRPr="003058A0">
        <w:rPr>
          <w:b/>
        </w:rPr>
        <w:t xml:space="preserve">Coordination Group </w:t>
      </w:r>
    </w:p>
    <w:p w14:paraId="59553070" w14:textId="69FCC960" w:rsidR="00DF7CC1" w:rsidRDefault="00DF7CC1" w:rsidP="00DF7CC1">
      <w:pPr>
        <w:pStyle w:val="ListParagraph"/>
        <w:numPr>
          <w:ilvl w:val="0"/>
          <w:numId w:val="1"/>
        </w:numPr>
      </w:pPr>
      <w:r>
        <w:t>The PTTC NCO convened the first COVID-19 coordination group on April 22, 2020 with participants from each PTTC. The coordination group’s goal is to assess workforce needs regarding the impact of COVID19, and define, prioritize and coordinate the response. Four priority topics were identified</w:t>
      </w:r>
      <w:r w:rsidR="0086294D">
        <w:t xml:space="preserve">, </w:t>
      </w:r>
      <w:r w:rsidR="00E742DE">
        <w:t xml:space="preserve">below. Coordination group deliverables and additional resources have been compiled on the </w:t>
      </w:r>
      <w:hyperlink r:id="rId37" w:history="1">
        <w:r w:rsidR="00E742DE" w:rsidRPr="00E742DE">
          <w:rPr>
            <w:rStyle w:val="Hyperlink"/>
          </w:rPr>
          <w:t>PTTC website</w:t>
        </w:r>
      </w:hyperlink>
      <w:r w:rsidR="00E742DE">
        <w:t>.</w:t>
      </w:r>
    </w:p>
    <w:p w14:paraId="1ADE7C5C" w14:textId="1EE6E25F" w:rsidR="01EA1C73" w:rsidRDefault="00DF7CC1" w:rsidP="00DF7CC1">
      <w:pPr>
        <w:pStyle w:val="ListParagraph"/>
        <w:numPr>
          <w:ilvl w:val="1"/>
          <w:numId w:val="1"/>
        </w:numPr>
      </w:pPr>
      <w:r>
        <w:t>(</w:t>
      </w:r>
      <w:r w:rsidR="01EA1C73">
        <w:t xml:space="preserve">1) </w:t>
      </w:r>
      <w:hyperlink r:id="rId38" w:history="1">
        <w:r w:rsidR="01EA1C73" w:rsidRPr="004B3325">
          <w:rPr>
            <w:rStyle w:val="Hyperlink"/>
          </w:rPr>
          <w:t>Engage youth and family engagement during isolation</w:t>
        </w:r>
      </w:hyperlink>
    </w:p>
    <w:p w14:paraId="6D0ED1C5" w14:textId="566D466D" w:rsidR="01EA1C73" w:rsidRDefault="01EA1C73" w:rsidP="003058A0">
      <w:pPr>
        <w:pStyle w:val="ListParagraph"/>
        <w:numPr>
          <w:ilvl w:val="1"/>
          <w:numId w:val="1"/>
        </w:numPr>
      </w:pPr>
      <w:r>
        <w:t xml:space="preserve">(2) </w:t>
      </w:r>
      <w:hyperlink r:id="rId39" w:history="1">
        <w:r w:rsidR="00DF7CC1" w:rsidRPr="00E742DE">
          <w:rPr>
            <w:rStyle w:val="Hyperlink"/>
          </w:rPr>
          <w:t>B</w:t>
        </w:r>
        <w:r w:rsidRPr="00E742DE">
          <w:rPr>
            <w:rStyle w:val="Hyperlink"/>
          </w:rPr>
          <w:t>ringing prevention virtual</w:t>
        </w:r>
        <w:r w:rsidR="00E742DE" w:rsidRPr="00E742DE">
          <w:rPr>
            <w:rStyle w:val="Hyperlink"/>
          </w:rPr>
          <w:t xml:space="preserve"> resource repository</w:t>
        </w:r>
      </w:hyperlink>
    </w:p>
    <w:p w14:paraId="2FF392A0" w14:textId="465A4961" w:rsidR="01EA1C73" w:rsidRDefault="01EA1C73" w:rsidP="003058A0">
      <w:pPr>
        <w:pStyle w:val="ListParagraph"/>
        <w:numPr>
          <w:ilvl w:val="1"/>
          <w:numId w:val="1"/>
        </w:numPr>
      </w:pPr>
      <w:r>
        <w:t>(3) Youth engagement during transition back to school</w:t>
      </w:r>
    </w:p>
    <w:p w14:paraId="0D96ED40" w14:textId="0F47DF8A" w:rsidR="01EA1C73" w:rsidRDefault="01EA1C73" w:rsidP="003058A0">
      <w:pPr>
        <w:pStyle w:val="ListParagraph"/>
        <w:numPr>
          <w:ilvl w:val="1"/>
          <w:numId w:val="1"/>
        </w:numPr>
      </w:pPr>
      <w:r>
        <w:t xml:space="preserve">(4) </w:t>
      </w:r>
      <w:r w:rsidR="00E742DE">
        <w:t>S</w:t>
      </w:r>
      <w:r>
        <w:t>upporting the adaptation of Evidence-Based Interventions.</w:t>
      </w:r>
    </w:p>
    <w:sectPr w:rsidR="01EA1C73">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A1AB" w14:textId="77777777" w:rsidR="005C2FED" w:rsidRDefault="005C2FED" w:rsidP="00F7349C">
      <w:pPr>
        <w:spacing w:after="0" w:line="240" w:lineRule="auto"/>
      </w:pPr>
      <w:r>
        <w:separator/>
      </w:r>
    </w:p>
  </w:endnote>
  <w:endnote w:type="continuationSeparator" w:id="0">
    <w:p w14:paraId="382EBB06" w14:textId="77777777" w:rsidR="005C2FED" w:rsidRDefault="005C2FED" w:rsidP="00F7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A42F" w14:textId="77777777" w:rsidR="005C2FED" w:rsidRDefault="005C2FED" w:rsidP="00F7349C">
      <w:pPr>
        <w:spacing w:after="0" w:line="240" w:lineRule="auto"/>
      </w:pPr>
      <w:r>
        <w:separator/>
      </w:r>
    </w:p>
  </w:footnote>
  <w:footnote w:type="continuationSeparator" w:id="0">
    <w:p w14:paraId="652E6908" w14:textId="77777777" w:rsidR="005C2FED" w:rsidRDefault="005C2FED" w:rsidP="00F7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FDAA" w14:textId="7A5BC70B" w:rsidR="00F7349C" w:rsidRPr="00F7349C" w:rsidRDefault="00F7349C" w:rsidP="00F7349C">
    <w:pPr>
      <w:pStyle w:val="Header"/>
      <w:ind w:left="-180"/>
    </w:pPr>
    <w:r>
      <w:rPr>
        <w:b/>
        <w:bCs/>
        <w:noProof/>
      </w:rPr>
      <w:drawing>
        <wp:inline distT="0" distB="0" distL="0" distR="0" wp14:anchorId="2DEFDA93" wp14:editId="65A0F5DE">
          <wp:extent cx="4127500" cy="6191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TCHORZ.2colorPMS.jpg"/>
                  <pic:cNvPicPr/>
                </pic:nvPicPr>
                <pic:blipFill>
                  <a:blip r:embed="rId1">
                    <a:extLst>
                      <a:ext uri="{28A0092B-C50C-407E-A947-70E740481C1C}">
                        <a14:useLocalDpi xmlns:a14="http://schemas.microsoft.com/office/drawing/2010/main" val="0"/>
                      </a:ext>
                    </a:extLst>
                  </a:blip>
                  <a:stretch>
                    <a:fillRect/>
                  </a:stretch>
                </pic:blipFill>
                <pic:spPr>
                  <a:xfrm>
                    <a:off x="0" y="0"/>
                    <a:ext cx="4172453" cy="6258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2255"/>
    <w:multiLevelType w:val="hybridMultilevel"/>
    <w:tmpl w:val="8274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36D93"/>
    <w:multiLevelType w:val="hybridMultilevel"/>
    <w:tmpl w:val="B5C0121E"/>
    <w:lvl w:ilvl="0" w:tplc="5372C756">
      <w:start w:val="1"/>
      <w:numFmt w:val="bullet"/>
      <w:lvlText w:val=""/>
      <w:lvlJc w:val="left"/>
      <w:pPr>
        <w:ind w:left="720" w:hanging="360"/>
      </w:pPr>
      <w:rPr>
        <w:rFonts w:ascii="Symbol" w:hAnsi="Symbol" w:hint="default"/>
      </w:rPr>
    </w:lvl>
    <w:lvl w:ilvl="1" w:tplc="E7068728">
      <w:start w:val="1"/>
      <w:numFmt w:val="bullet"/>
      <w:lvlText w:val="o"/>
      <w:lvlJc w:val="left"/>
      <w:pPr>
        <w:ind w:left="1440" w:hanging="360"/>
      </w:pPr>
      <w:rPr>
        <w:rFonts w:ascii="Courier New" w:hAnsi="Courier New" w:hint="default"/>
      </w:rPr>
    </w:lvl>
    <w:lvl w:ilvl="2" w:tplc="A07C4892">
      <w:start w:val="1"/>
      <w:numFmt w:val="bullet"/>
      <w:lvlText w:val=""/>
      <w:lvlJc w:val="left"/>
      <w:pPr>
        <w:ind w:left="2160" w:hanging="360"/>
      </w:pPr>
      <w:rPr>
        <w:rFonts w:ascii="Wingdings" w:hAnsi="Wingdings" w:hint="default"/>
      </w:rPr>
    </w:lvl>
    <w:lvl w:ilvl="3" w:tplc="59C8DEC6">
      <w:start w:val="1"/>
      <w:numFmt w:val="bullet"/>
      <w:lvlText w:val=""/>
      <w:lvlJc w:val="left"/>
      <w:pPr>
        <w:ind w:left="2880" w:hanging="360"/>
      </w:pPr>
      <w:rPr>
        <w:rFonts w:ascii="Symbol" w:hAnsi="Symbol" w:hint="default"/>
      </w:rPr>
    </w:lvl>
    <w:lvl w:ilvl="4" w:tplc="0840C924">
      <w:start w:val="1"/>
      <w:numFmt w:val="bullet"/>
      <w:lvlText w:val="o"/>
      <w:lvlJc w:val="left"/>
      <w:pPr>
        <w:ind w:left="3600" w:hanging="360"/>
      </w:pPr>
      <w:rPr>
        <w:rFonts w:ascii="Courier New" w:hAnsi="Courier New" w:hint="default"/>
      </w:rPr>
    </w:lvl>
    <w:lvl w:ilvl="5" w:tplc="1D70C8EA">
      <w:start w:val="1"/>
      <w:numFmt w:val="bullet"/>
      <w:lvlText w:val=""/>
      <w:lvlJc w:val="left"/>
      <w:pPr>
        <w:ind w:left="4320" w:hanging="360"/>
      </w:pPr>
      <w:rPr>
        <w:rFonts w:ascii="Wingdings" w:hAnsi="Wingdings" w:hint="default"/>
      </w:rPr>
    </w:lvl>
    <w:lvl w:ilvl="6" w:tplc="33606756">
      <w:start w:val="1"/>
      <w:numFmt w:val="bullet"/>
      <w:lvlText w:val=""/>
      <w:lvlJc w:val="left"/>
      <w:pPr>
        <w:ind w:left="5040" w:hanging="360"/>
      </w:pPr>
      <w:rPr>
        <w:rFonts w:ascii="Symbol" w:hAnsi="Symbol" w:hint="default"/>
      </w:rPr>
    </w:lvl>
    <w:lvl w:ilvl="7" w:tplc="B518CB44">
      <w:start w:val="1"/>
      <w:numFmt w:val="bullet"/>
      <w:lvlText w:val="o"/>
      <w:lvlJc w:val="left"/>
      <w:pPr>
        <w:ind w:left="5760" w:hanging="360"/>
      </w:pPr>
      <w:rPr>
        <w:rFonts w:ascii="Courier New" w:hAnsi="Courier New" w:hint="default"/>
      </w:rPr>
    </w:lvl>
    <w:lvl w:ilvl="8" w:tplc="811448EE">
      <w:start w:val="1"/>
      <w:numFmt w:val="bullet"/>
      <w:lvlText w:val=""/>
      <w:lvlJc w:val="left"/>
      <w:pPr>
        <w:ind w:left="6480" w:hanging="360"/>
      </w:pPr>
      <w:rPr>
        <w:rFonts w:ascii="Wingdings" w:hAnsi="Wingdings" w:hint="default"/>
      </w:rPr>
    </w:lvl>
  </w:abstractNum>
  <w:abstractNum w:abstractNumId="2" w15:restartNumberingAfterBreak="0">
    <w:nsid w:val="323C575A"/>
    <w:multiLevelType w:val="hybridMultilevel"/>
    <w:tmpl w:val="A482977A"/>
    <w:lvl w:ilvl="0" w:tplc="8A428C82">
      <w:start w:val="1"/>
      <w:numFmt w:val="bullet"/>
      <w:lvlText w:val=""/>
      <w:lvlJc w:val="left"/>
      <w:pPr>
        <w:ind w:left="720" w:hanging="360"/>
      </w:pPr>
      <w:rPr>
        <w:rFonts w:ascii="Symbol" w:hAnsi="Symbol" w:hint="default"/>
      </w:rPr>
    </w:lvl>
    <w:lvl w:ilvl="1" w:tplc="E23A8410">
      <w:start w:val="1"/>
      <w:numFmt w:val="bullet"/>
      <w:lvlText w:val="o"/>
      <w:lvlJc w:val="left"/>
      <w:pPr>
        <w:ind w:left="1440" w:hanging="360"/>
      </w:pPr>
      <w:rPr>
        <w:rFonts w:ascii="Courier New" w:hAnsi="Courier New" w:hint="default"/>
      </w:rPr>
    </w:lvl>
    <w:lvl w:ilvl="2" w:tplc="B85C379A">
      <w:start w:val="1"/>
      <w:numFmt w:val="bullet"/>
      <w:lvlText w:val=""/>
      <w:lvlJc w:val="left"/>
      <w:pPr>
        <w:ind w:left="2160" w:hanging="360"/>
      </w:pPr>
      <w:rPr>
        <w:rFonts w:ascii="Wingdings" w:hAnsi="Wingdings" w:hint="default"/>
      </w:rPr>
    </w:lvl>
    <w:lvl w:ilvl="3" w:tplc="8FBE0354">
      <w:start w:val="1"/>
      <w:numFmt w:val="bullet"/>
      <w:lvlText w:val=""/>
      <w:lvlJc w:val="left"/>
      <w:pPr>
        <w:ind w:left="2880" w:hanging="360"/>
      </w:pPr>
      <w:rPr>
        <w:rFonts w:ascii="Symbol" w:hAnsi="Symbol" w:hint="default"/>
      </w:rPr>
    </w:lvl>
    <w:lvl w:ilvl="4" w:tplc="2B582E8A">
      <w:start w:val="1"/>
      <w:numFmt w:val="bullet"/>
      <w:lvlText w:val="o"/>
      <w:lvlJc w:val="left"/>
      <w:pPr>
        <w:ind w:left="3600" w:hanging="360"/>
      </w:pPr>
      <w:rPr>
        <w:rFonts w:ascii="Courier New" w:hAnsi="Courier New" w:hint="default"/>
      </w:rPr>
    </w:lvl>
    <w:lvl w:ilvl="5" w:tplc="D8E6B26A">
      <w:start w:val="1"/>
      <w:numFmt w:val="bullet"/>
      <w:lvlText w:val=""/>
      <w:lvlJc w:val="left"/>
      <w:pPr>
        <w:ind w:left="4320" w:hanging="360"/>
      </w:pPr>
      <w:rPr>
        <w:rFonts w:ascii="Wingdings" w:hAnsi="Wingdings" w:hint="default"/>
      </w:rPr>
    </w:lvl>
    <w:lvl w:ilvl="6" w:tplc="17FEC2BA">
      <w:start w:val="1"/>
      <w:numFmt w:val="bullet"/>
      <w:lvlText w:val=""/>
      <w:lvlJc w:val="left"/>
      <w:pPr>
        <w:ind w:left="5040" w:hanging="360"/>
      </w:pPr>
      <w:rPr>
        <w:rFonts w:ascii="Symbol" w:hAnsi="Symbol" w:hint="default"/>
      </w:rPr>
    </w:lvl>
    <w:lvl w:ilvl="7" w:tplc="D94AACAA">
      <w:start w:val="1"/>
      <w:numFmt w:val="bullet"/>
      <w:lvlText w:val="o"/>
      <w:lvlJc w:val="left"/>
      <w:pPr>
        <w:ind w:left="5760" w:hanging="360"/>
      </w:pPr>
      <w:rPr>
        <w:rFonts w:ascii="Courier New" w:hAnsi="Courier New" w:hint="default"/>
      </w:rPr>
    </w:lvl>
    <w:lvl w:ilvl="8" w:tplc="60BC9B0A">
      <w:start w:val="1"/>
      <w:numFmt w:val="bullet"/>
      <w:lvlText w:val=""/>
      <w:lvlJc w:val="left"/>
      <w:pPr>
        <w:ind w:left="6480" w:hanging="360"/>
      </w:pPr>
      <w:rPr>
        <w:rFonts w:ascii="Wingdings" w:hAnsi="Wingdings" w:hint="default"/>
      </w:rPr>
    </w:lvl>
  </w:abstractNum>
  <w:abstractNum w:abstractNumId="3" w15:restartNumberingAfterBreak="0">
    <w:nsid w:val="53621E87"/>
    <w:multiLevelType w:val="hybridMultilevel"/>
    <w:tmpl w:val="BCF6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43053"/>
    <w:multiLevelType w:val="hybridMultilevel"/>
    <w:tmpl w:val="1BDC3F3C"/>
    <w:lvl w:ilvl="0" w:tplc="5372C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101EDE"/>
    <w:rsid w:val="0025607B"/>
    <w:rsid w:val="003058A0"/>
    <w:rsid w:val="004B3325"/>
    <w:rsid w:val="0052362A"/>
    <w:rsid w:val="005C2FED"/>
    <w:rsid w:val="006507C6"/>
    <w:rsid w:val="007406A2"/>
    <w:rsid w:val="0086294D"/>
    <w:rsid w:val="00C555B1"/>
    <w:rsid w:val="00C7749F"/>
    <w:rsid w:val="00D1201B"/>
    <w:rsid w:val="00DC6135"/>
    <w:rsid w:val="00DF7CC1"/>
    <w:rsid w:val="00E742DE"/>
    <w:rsid w:val="00F7349C"/>
    <w:rsid w:val="01000F0A"/>
    <w:rsid w:val="01EA1C73"/>
    <w:rsid w:val="07AE2141"/>
    <w:rsid w:val="0885C0BF"/>
    <w:rsid w:val="144C7E61"/>
    <w:rsid w:val="1532990F"/>
    <w:rsid w:val="1582E564"/>
    <w:rsid w:val="175A4118"/>
    <w:rsid w:val="1B0A5504"/>
    <w:rsid w:val="1E858FC6"/>
    <w:rsid w:val="2171C1FD"/>
    <w:rsid w:val="22CBCD35"/>
    <w:rsid w:val="2AA4B77E"/>
    <w:rsid w:val="2B6450FB"/>
    <w:rsid w:val="30178E49"/>
    <w:rsid w:val="35522E76"/>
    <w:rsid w:val="39AADEF2"/>
    <w:rsid w:val="3C756525"/>
    <w:rsid w:val="3D70CC45"/>
    <w:rsid w:val="41576923"/>
    <w:rsid w:val="460ABDA6"/>
    <w:rsid w:val="4C7260D5"/>
    <w:rsid w:val="502130BE"/>
    <w:rsid w:val="518EA8CC"/>
    <w:rsid w:val="51E39242"/>
    <w:rsid w:val="52101EDE"/>
    <w:rsid w:val="5531C4AF"/>
    <w:rsid w:val="5545C706"/>
    <w:rsid w:val="55EAD664"/>
    <w:rsid w:val="5CA0D10A"/>
    <w:rsid w:val="5E468FA3"/>
    <w:rsid w:val="65068A40"/>
    <w:rsid w:val="65A0A9F0"/>
    <w:rsid w:val="66364C9A"/>
    <w:rsid w:val="66854258"/>
    <w:rsid w:val="685CC9F1"/>
    <w:rsid w:val="6B24FA83"/>
    <w:rsid w:val="724CFCCD"/>
    <w:rsid w:val="74337220"/>
    <w:rsid w:val="7433757F"/>
    <w:rsid w:val="75FC18DB"/>
    <w:rsid w:val="77A8193E"/>
    <w:rsid w:val="7B4B1460"/>
    <w:rsid w:val="7D5FBDBD"/>
    <w:rsid w:val="7F54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1EDE"/>
  <w15:chartTrackingRefBased/>
  <w15:docId w15:val="{633C387B-BE8A-4AC6-A1C1-37AC1C0C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560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058A0"/>
    <w:rPr>
      <w:color w:val="605E5C"/>
      <w:shd w:val="clear" w:color="auto" w:fill="E1DFDD"/>
    </w:rPr>
  </w:style>
  <w:style w:type="character" w:customStyle="1" w:styleId="Heading4Char">
    <w:name w:val="Heading 4 Char"/>
    <w:basedOn w:val="DefaultParagraphFont"/>
    <w:link w:val="Heading4"/>
    <w:uiPriority w:val="9"/>
    <w:semiHidden/>
    <w:rsid w:val="0025607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7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9C"/>
  </w:style>
  <w:style w:type="paragraph" w:styleId="Footer">
    <w:name w:val="footer"/>
    <w:basedOn w:val="Normal"/>
    <w:link w:val="FooterChar"/>
    <w:uiPriority w:val="99"/>
    <w:unhideWhenUsed/>
    <w:rsid w:val="00F7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6774">
      <w:bodyDiv w:val="1"/>
      <w:marLeft w:val="0"/>
      <w:marRight w:val="0"/>
      <w:marTop w:val="0"/>
      <w:marBottom w:val="0"/>
      <w:divBdr>
        <w:top w:val="none" w:sz="0" w:space="0" w:color="auto"/>
        <w:left w:val="none" w:sz="0" w:space="0" w:color="auto"/>
        <w:bottom w:val="none" w:sz="0" w:space="0" w:color="auto"/>
        <w:right w:val="none" w:sz="0" w:space="0" w:color="auto"/>
      </w:divBdr>
    </w:div>
    <w:div w:id="238249211">
      <w:bodyDiv w:val="1"/>
      <w:marLeft w:val="0"/>
      <w:marRight w:val="0"/>
      <w:marTop w:val="0"/>
      <w:marBottom w:val="0"/>
      <w:divBdr>
        <w:top w:val="none" w:sz="0" w:space="0" w:color="auto"/>
        <w:left w:val="none" w:sz="0" w:space="0" w:color="auto"/>
        <w:bottom w:val="none" w:sz="0" w:space="0" w:color="auto"/>
        <w:right w:val="none" w:sz="0" w:space="0" w:color="auto"/>
      </w:divBdr>
    </w:div>
    <w:div w:id="439226743">
      <w:bodyDiv w:val="1"/>
      <w:marLeft w:val="0"/>
      <w:marRight w:val="0"/>
      <w:marTop w:val="0"/>
      <w:marBottom w:val="0"/>
      <w:divBdr>
        <w:top w:val="none" w:sz="0" w:space="0" w:color="auto"/>
        <w:left w:val="none" w:sz="0" w:space="0" w:color="auto"/>
        <w:bottom w:val="none" w:sz="0" w:space="0" w:color="auto"/>
        <w:right w:val="none" w:sz="0" w:space="0" w:color="auto"/>
      </w:divBdr>
    </w:div>
    <w:div w:id="476578307">
      <w:bodyDiv w:val="1"/>
      <w:marLeft w:val="0"/>
      <w:marRight w:val="0"/>
      <w:marTop w:val="0"/>
      <w:marBottom w:val="0"/>
      <w:divBdr>
        <w:top w:val="none" w:sz="0" w:space="0" w:color="auto"/>
        <w:left w:val="none" w:sz="0" w:space="0" w:color="auto"/>
        <w:bottom w:val="none" w:sz="0" w:space="0" w:color="auto"/>
        <w:right w:val="none" w:sz="0" w:space="0" w:color="auto"/>
      </w:divBdr>
    </w:div>
    <w:div w:id="484394113">
      <w:bodyDiv w:val="1"/>
      <w:marLeft w:val="0"/>
      <w:marRight w:val="0"/>
      <w:marTop w:val="0"/>
      <w:marBottom w:val="0"/>
      <w:divBdr>
        <w:top w:val="none" w:sz="0" w:space="0" w:color="auto"/>
        <w:left w:val="none" w:sz="0" w:space="0" w:color="auto"/>
        <w:bottom w:val="none" w:sz="0" w:space="0" w:color="auto"/>
        <w:right w:val="none" w:sz="0" w:space="0" w:color="auto"/>
      </w:divBdr>
    </w:div>
    <w:div w:id="584189450">
      <w:bodyDiv w:val="1"/>
      <w:marLeft w:val="0"/>
      <w:marRight w:val="0"/>
      <w:marTop w:val="0"/>
      <w:marBottom w:val="0"/>
      <w:divBdr>
        <w:top w:val="none" w:sz="0" w:space="0" w:color="auto"/>
        <w:left w:val="none" w:sz="0" w:space="0" w:color="auto"/>
        <w:bottom w:val="none" w:sz="0" w:space="0" w:color="auto"/>
        <w:right w:val="none" w:sz="0" w:space="0" w:color="auto"/>
      </w:divBdr>
    </w:div>
    <w:div w:id="655183858">
      <w:bodyDiv w:val="1"/>
      <w:marLeft w:val="0"/>
      <w:marRight w:val="0"/>
      <w:marTop w:val="0"/>
      <w:marBottom w:val="0"/>
      <w:divBdr>
        <w:top w:val="none" w:sz="0" w:space="0" w:color="auto"/>
        <w:left w:val="none" w:sz="0" w:space="0" w:color="auto"/>
        <w:bottom w:val="none" w:sz="0" w:space="0" w:color="auto"/>
        <w:right w:val="none" w:sz="0" w:space="0" w:color="auto"/>
      </w:divBdr>
    </w:div>
    <w:div w:id="722757671">
      <w:bodyDiv w:val="1"/>
      <w:marLeft w:val="0"/>
      <w:marRight w:val="0"/>
      <w:marTop w:val="0"/>
      <w:marBottom w:val="0"/>
      <w:divBdr>
        <w:top w:val="none" w:sz="0" w:space="0" w:color="auto"/>
        <w:left w:val="none" w:sz="0" w:space="0" w:color="auto"/>
        <w:bottom w:val="none" w:sz="0" w:space="0" w:color="auto"/>
        <w:right w:val="none" w:sz="0" w:space="0" w:color="auto"/>
      </w:divBdr>
    </w:div>
    <w:div w:id="840243784">
      <w:bodyDiv w:val="1"/>
      <w:marLeft w:val="0"/>
      <w:marRight w:val="0"/>
      <w:marTop w:val="0"/>
      <w:marBottom w:val="0"/>
      <w:divBdr>
        <w:top w:val="none" w:sz="0" w:space="0" w:color="auto"/>
        <w:left w:val="none" w:sz="0" w:space="0" w:color="auto"/>
        <w:bottom w:val="none" w:sz="0" w:space="0" w:color="auto"/>
        <w:right w:val="none" w:sz="0" w:space="0" w:color="auto"/>
      </w:divBdr>
    </w:div>
    <w:div w:id="908880048">
      <w:bodyDiv w:val="1"/>
      <w:marLeft w:val="0"/>
      <w:marRight w:val="0"/>
      <w:marTop w:val="0"/>
      <w:marBottom w:val="0"/>
      <w:divBdr>
        <w:top w:val="none" w:sz="0" w:space="0" w:color="auto"/>
        <w:left w:val="none" w:sz="0" w:space="0" w:color="auto"/>
        <w:bottom w:val="none" w:sz="0" w:space="0" w:color="auto"/>
        <w:right w:val="none" w:sz="0" w:space="0" w:color="auto"/>
      </w:divBdr>
    </w:div>
    <w:div w:id="1115370432">
      <w:bodyDiv w:val="1"/>
      <w:marLeft w:val="0"/>
      <w:marRight w:val="0"/>
      <w:marTop w:val="0"/>
      <w:marBottom w:val="0"/>
      <w:divBdr>
        <w:top w:val="none" w:sz="0" w:space="0" w:color="auto"/>
        <w:left w:val="none" w:sz="0" w:space="0" w:color="auto"/>
        <w:bottom w:val="none" w:sz="0" w:space="0" w:color="auto"/>
        <w:right w:val="none" w:sz="0" w:space="0" w:color="auto"/>
      </w:divBdr>
    </w:div>
    <w:div w:id="1182628649">
      <w:bodyDiv w:val="1"/>
      <w:marLeft w:val="0"/>
      <w:marRight w:val="0"/>
      <w:marTop w:val="0"/>
      <w:marBottom w:val="0"/>
      <w:divBdr>
        <w:top w:val="none" w:sz="0" w:space="0" w:color="auto"/>
        <w:left w:val="none" w:sz="0" w:space="0" w:color="auto"/>
        <w:bottom w:val="none" w:sz="0" w:space="0" w:color="auto"/>
        <w:right w:val="none" w:sz="0" w:space="0" w:color="auto"/>
      </w:divBdr>
    </w:div>
    <w:div w:id="1300695274">
      <w:bodyDiv w:val="1"/>
      <w:marLeft w:val="0"/>
      <w:marRight w:val="0"/>
      <w:marTop w:val="0"/>
      <w:marBottom w:val="0"/>
      <w:divBdr>
        <w:top w:val="none" w:sz="0" w:space="0" w:color="auto"/>
        <w:left w:val="none" w:sz="0" w:space="0" w:color="auto"/>
        <w:bottom w:val="none" w:sz="0" w:space="0" w:color="auto"/>
        <w:right w:val="none" w:sz="0" w:space="0" w:color="auto"/>
      </w:divBdr>
    </w:div>
    <w:div w:id="1307979148">
      <w:bodyDiv w:val="1"/>
      <w:marLeft w:val="0"/>
      <w:marRight w:val="0"/>
      <w:marTop w:val="0"/>
      <w:marBottom w:val="0"/>
      <w:divBdr>
        <w:top w:val="none" w:sz="0" w:space="0" w:color="auto"/>
        <w:left w:val="none" w:sz="0" w:space="0" w:color="auto"/>
        <w:bottom w:val="none" w:sz="0" w:space="0" w:color="auto"/>
        <w:right w:val="none" w:sz="0" w:space="0" w:color="auto"/>
      </w:divBdr>
    </w:div>
    <w:div w:id="1338117532">
      <w:bodyDiv w:val="1"/>
      <w:marLeft w:val="0"/>
      <w:marRight w:val="0"/>
      <w:marTop w:val="0"/>
      <w:marBottom w:val="0"/>
      <w:divBdr>
        <w:top w:val="none" w:sz="0" w:space="0" w:color="auto"/>
        <w:left w:val="none" w:sz="0" w:space="0" w:color="auto"/>
        <w:bottom w:val="none" w:sz="0" w:space="0" w:color="auto"/>
        <w:right w:val="none" w:sz="0" w:space="0" w:color="auto"/>
      </w:divBdr>
    </w:div>
    <w:div w:id="1541894794">
      <w:bodyDiv w:val="1"/>
      <w:marLeft w:val="0"/>
      <w:marRight w:val="0"/>
      <w:marTop w:val="0"/>
      <w:marBottom w:val="0"/>
      <w:divBdr>
        <w:top w:val="none" w:sz="0" w:space="0" w:color="auto"/>
        <w:left w:val="none" w:sz="0" w:space="0" w:color="auto"/>
        <w:bottom w:val="none" w:sz="0" w:space="0" w:color="auto"/>
        <w:right w:val="none" w:sz="0" w:space="0" w:color="auto"/>
      </w:divBdr>
    </w:div>
    <w:div w:id="1740054146">
      <w:bodyDiv w:val="1"/>
      <w:marLeft w:val="0"/>
      <w:marRight w:val="0"/>
      <w:marTop w:val="0"/>
      <w:marBottom w:val="0"/>
      <w:divBdr>
        <w:top w:val="none" w:sz="0" w:space="0" w:color="auto"/>
        <w:left w:val="none" w:sz="0" w:space="0" w:color="auto"/>
        <w:bottom w:val="none" w:sz="0" w:space="0" w:color="auto"/>
        <w:right w:val="none" w:sz="0" w:space="0" w:color="auto"/>
      </w:divBdr>
    </w:div>
    <w:div w:id="1882211052">
      <w:bodyDiv w:val="1"/>
      <w:marLeft w:val="0"/>
      <w:marRight w:val="0"/>
      <w:marTop w:val="0"/>
      <w:marBottom w:val="0"/>
      <w:divBdr>
        <w:top w:val="none" w:sz="0" w:space="0" w:color="auto"/>
        <w:left w:val="none" w:sz="0" w:space="0" w:color="auto"/>
        <w:bottom w:val="none" w:sz="0" w:space="0" w:color="auto"/>
        <w:right w:val="none" w:sz="0" w:space="0" w:color="auto"/>
      </w:divBdr>
    </w:div>
    <w:div w:id="1908374905">
      <w:bodyDiv w:val="1"/>
      <w:marLeft w:val="0"/>
      <w:marRight w:val="0"/>
      <w:marTop w:val="0"/>
      <w:marBottom w:val="0"/>
      <w:divBdr>
        <w:top w:val="none" w:sz="0" w:space="0" w:color="auto"/>
        <w:left w:val="none" w:sz="0" w:space="0" w:color="auto"/>
        <w:bottom w:val="none" w:sz="0" w:space="0" w:color="auto"/>
        <w:right w:val="none" w:sz="0" w:space="0" w:color="auto"/>
      </w:divBdr>
    </w:div>
    <w:div w:id="1913150811">
      <w:bodyDiv w:val="1"/>
      <w:marLeft w:val="0"/>
      <w:marRight w:val="0"/>
      <w:marTop w:val="0"/>
      <w:marBottom w:val="0"/>
      <w:divBdr>
        <w:top w:val="none" w:sz="0" w:space="0" w:color="auto"/>
        <w:left w:val="none" w:sz="0" w:space="0" w:color="auto"/>
        <w:bottom w:val="none" w:sz="0" w:space="0" w:color="auto"/>
        <w:right w:val="none" w:sz="0" w:space="0" w:color="auto"/>
      </w:divBdr>
    </w:div>
    <w:div w:id="19262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tcnetwork.org/centers/global-pttc/community-coalitions-and-collaborators-priority-area" TargetMode="External"/><Relationship Id="rId18" Type="http://schemas.openxmlformats.org/officeDocument/2006/relationships/hyperlink" Target="https://pttcnetwork.org/centers/global-pttc/product/applying-prevention-science-practice-using-environmental-strategies" TargetMode="External"/><Relationship Id="rId26" Type="http://schemas.openxmlformats.org/officeDocument/2006/relationships/hyperlink" Target="https://pttcnetwork.org/centers/network-coordinating-office/sdh-and-covid-discussion-series" TargetMode="External"/><Relationship Id="rId39" Type="http://schemas.openxmlformats.org/officeDocument/2006/relationships/hyperlink" Target="https://pttcnetwork.org/centers/global-pttc/bringing-prevention-virtual" TargetMode="External"/><Relationship Id="rId21" Type="http://schemas.openxmlformats.org/officeDocument/2006/relationships/hyperlink" Target="https://pttcnetwork.org/centers/global-pttc/product/quick-guide-adapting-evidence-based-interventions" TargetMode="External"/><Relationship Id="rId34" Type="http://schemas.openxmlformats.org/officeDocument/2006/relationships/hyperlink" Target="https://umkc.app.box.com/file/674496259782?s=viya0booo9l80t9clhrc3sqo650upcga"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ttcnetwork.org/centers/network-coordinating-office/product/six-elements-effective-coalitions-series-diverse" TargetMode="External"/><Relationship Id="rId20" Type="http://schemas.openxmlformats.org/officeDocument/2006/relationships/hyperlink" Target="https://pttcnetwork.org/centers/global-pttc/product/applying-prevention-science-practice-series-strategic-fit-and-evidence" TargetMode="External"/><Relationship Id="rId29" Type="http://schemas.openxmlformats.org/officeDocument/2006/relationships/hyperlink" Target="https://pttcnetwork.org/sites/default/files/2020-05/DataDiveEp1_Companion_documen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ttcnetwork.org/centers/global-pttc/news/pttc-network-launches-new-marijuana-prevention-and-education-toolkit" TargetMode="External"/><Relationship Id="rId24" Type="http://schemas.openxmlformats.org/officeDocument/2006/relationships/hyperlink" Target="https://pttcnetwork.org/node/32821" TargetMode="External"/><Relationship Id="rId32" Type="http://schemas.openxmlformats.org/officeDocument/2006/relationships/hyperlink" Target="https://pttcnetwork.org/centers/global-pttc/product/completing-data-puzzle-identifying-assessment-gaps" TargetMode="External"/><Relationship Id="rId37" Type="http://schemas.openxmlformats.org/officeDocument/2006/relationships/hyperlink" Target="https://pttcnetwork.org/centers/global-pttc/pandemic-response-resources"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ttcnetwork.org/sites/default/files/2019-11/ABriefOverviewofSixElementsofEffectiveCoalitions.Final__0.pdf" TargetMode="External"/><Relationship Id="rId23" Type="http://schemas.openxmlformats.org/officeDocument/2006/relationships/hyperlink" Target="https://pttcnetwork.org/centers/global-pttc/cultural-responsiveness" TargetMode="External"/><Relationship Id="rId28" Type="http://schemas.openxmlformats.org/officeDocument/2006/relationships/hyperlink" Target="https://pttcnetwork.org/centers/global-pttc/product/data-dive-episode-1" TargetMode="External"/><Relationship Id="rId36" Type="http://schemas.openxmlformats.org/officeDocument/2006/relationships/hyperlink" Target="https://pttcnetwork.org/centers/global-pttc/pttc-network-support-virtual-sapst" TargetMode="External"/><Relationship Id="rId10" Type="http://schemas.openxmlformats.org/officeDocument/2006/relationships/hyperlink" Target="https://pttcnetwork.org/centers/global-pttc/marijuana-risk-priority-area" TargetMode="External"/><Relationship Id="rId19" Type="http://schemas.openxmlformats.org/officeDocument/2006/relationships/hyperlink" Target="https://pttcnetwork.org/centers/network-coordinating-office/product/evidence-based-prevention-science-applying-prevention" TargetMode="External"/><Relationship Id="rId31" Type="http://schemas.openxmlformats.org/officeDocument/2006/relationships/hyperlink" Target="https://pttcnetwork.org/sites/default/files/2020-04/PTTC-Needs-assessment-Infographic-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ttcnetwork.org/centers/global-pttc/product/six-elements-effective-coalitions-0" TargetMode="External"/><Relationship Id="rId22" Type="http://schemas.openxmlformats.org/officeDocument/2006/relationships/hyperlink" Target="https://pttcnetwork.org/centers/global-pttc/culturally-and-linguistically-appropriate-practices-priority-area" TargetMode="External"/><Relationship Id="rId27" Type="http://schemas.openxmlformats.org/officeDocument/2006/relationships/hyperlink" Target="The%20Data-Informed%20Decisions%20Working%20Group%20(WG)%20exists%20to%20develop%20learning%20resources,%20tools,%20and%20services%20for%20prevention%20professionals%20in%20order%20to%20improve%20their%20use%20of%20data%20in%20all%20aspects%20of%20prevention%20planning%20so%20that%20the%20use%20of%20data-informed%20decisions%20increases%20resulting%20in%20higher-quality%20prevention%20work." TargetMode="External"/><Relationship Id="rId30" Type="http://schemas.openxmlformats.org/officeDocument/2006/relationships/hyperlink" Target="https://pttcnetwork.org/centers/global-pttc/product/data-dive-episode-two" TargetMode="External"/><Relationship Id="rId35" Type="http://schemas.openxmlformats.org/officeDocument/2006/relationships/hyperlink" Target="https://pttcnetwork.org/centers/global-pttc/network-saps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ttcnetwork.org/centers/global-pttc/product/research-policies-and-practices-federal-and-community-level" TargetMode="External"/><Relationship Id="rId17" Type="http://schemas.openxmlformats.org/officeDocument/2006/relationships/hyperlink" Target="https://pttcnetwork.org/centers/global-pttc/evidence-based-interventions-priority-area" TargetMode="External"/><Relationship Id="rId25" Type="http://schemas.openxmlformats.org/officeDocument/2006/relationships/hyperlink" Target="https://healtheknowledge.org/course/index.php?categoryid=101" TargetMode="External"/><Relationship Id="rId33" Type="http://schemas.openxmlformats.org/officeDocument/2006/relationships/hyperlink" Target="https://pttcnetwork.org/centers/global-pttc/workforce-development-priority-area" TargetMode="External"/><Relationship Id="rId38" Type="http://schemas.openxmlformats.org/officeDocument/2006/relationships/hyperlink" Target="https://pttcnetwork.org/sites/default/files/2020-10/PromotingYouthEngagement-COVID%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2" ma:contentTypeDescription="Create a new document." ma:contentTypeScope="" ma:versionID="f1adcf8ffead689efda55d4890a8e0d6">
  <xsd:schema xmlns:xsd="http://www.w3.org/2001/XMLSchema" xmlns:xs="http://www.w3.org/2001/XMLSchema" xmlns:p="http://schemas.microsoft.com/office/2006/metadata/properties" xmlns:ns2="4e6984c5-66a7-41a3-994d-c3b8e48b2f60" targetNamespace="http://schemas.microsoft.com/office/2006/metadata/properties" ma:root="true" ma:fieldsID="e05ebdd8c10b9e0d0cb7e152c3ec1a34" ns2:_="">
    <xsd:import namespace="4e6984c5-66a7-41a3-994d-c3b8e48b2f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D18BC-5C80-4948-A053-8E6AFDCBD169}">
  <ds:schemaRefs>
    <ds:schemaRef ds:uri="http://schemas.microsoft.com/sharepoint/v3/contenttype/forms"/>
  </ds:schemaRefs>
</ds:datastoreItem>
</file>

<file path=customXml/itemProps2.xml><?xml version="1.0" encoding="utf-8"?>
<ds:datastoreItem xmlns:ds="http://schemas.openxmlformats.org/officeDocument/2006/customXml" ds:itemID="{BA36FCE2-3B98-4989-9A4C-1729B8DAA5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DFC9B-0104-4E0B-AD97-C35A3A849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984c5-66a7-41a3-994d-c3b8e48b2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 Carissa</dc:creator>
  <cp:keywords/>
  <dc:description/>
  <cp:lastModifiedBy>Wilson, Van</cp:lastModifiedBy>
  <cp:revision>10</cp:revision>
  <dcterms:created xsi:type="dcterms:W3CDTF">2020-10-01T18:41:00Z</dcterms:created>
  <dcterms:modified xsi:type="dcterms:W3CDTF">2020-10-01T20:14:00Z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ies>
</file>