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BDB5" w14:textId="5B92AF6B" w:rsidR="00FA7891" w:rsidRDefault="00AF596D">
      <w:pPr>
        <w:rPr>
          <w:b/>
          <w:bCs/>
        </w:rPr>
      </w:pPr>
      <w:r w:rsidRPr="00AF596D">
        <w:rPr>
          <w:b/>
          <w:bCs/>
        </w:rPr>
        <w:t>AAP Youth Tobacco Cessation: Considerations for Clinicians</w:t>
      </w:r>
    </w:p>
    <w:p w14:paraId="256071F7" w14:textId="0D593597" w:rsidR="00AF596D" w:rsidRDefault="00AF596D">
      <w:r w:rsidRPr="00AF596D">
        <w:rPr>
          <w:b/>
          <w:bCs/>
        </w:rPr>
        <w:t>Contact</w:t>
      </w:r>
      <w:r>
        <w:t xml:space="preserve">: Julie Gorzkowski, AAP Director of Adolescent Health Promotion – </w:t>
      </w:r>
      <w:hyperlink r:id="rId5" w:history="1">
        <w:r w:rsidRPr="000E66A9">
          <w:rPr>
            <w:rStyle w:val="Hyperlink"/>
          </w:rPr>
          <w:t>jgorzkowski@aap.org</w:t>
        </w:r>
      </w:hyperlink>
      <w:r>
        <w:t xml:space="preserve"> </w:t>
      </w:r>
    </w:p>
    <w:p w14:paraId="014909BB" w14:textId="1B6CD819" w:rsidR="00AF596D" w:rsidRDefault="00AF596D">
      <w:r w:rsidRPr="00AF596D">
        <w:rPr>
          <w:b/>
          <w:bCs/>
        </w:rPr>
        <w:t>Dissemination Content:</w:t>
      </w:r>
      <w:r>
        <w:rPr>
          <w:b/>
          <w:bCs/>
        </w:rPr>
        <w:t xml:space="preserve"> </w:t>
      </w:r>
      <w:r>
        <w:t xml:space="preserve">Below, please find promotional language for the new AAP resource on youth tobacco cessation. Please feel free to share with your networks. We are trying to reach a large audience of healthcare providers and health systems, including pediatricians, nurse practitioners, family medicine physicians, dentists, school-based health centers, school nurses, college health programs, and other relevant stakeholders.  If you do share this content with your networks, please notify </w:t>
      </w:r>
      <w:hyperlink r:id="rId6" w:history="1">
        <w:r w:rsidRPr="000E66A9">
          <w:rPr>
            <w:rStyle w:val="Hyperlink"/>
          </w:rPr>
          <w:t>JGorzkowski@aap.org</w:t>
        </w:r>
      </w:hyperlink>
      <w:r>
        <w:t xml:space="preserve"> for tracking purposes. </w:t>
      </w:r>
    </w:p>
    <w:p w14:paraId="0C5EAE95" w14:textId="0EF6978F" w:rsidR="00AF596D" w:rsidRDefault="00AF596D">
      <w:r>
        <w:t>Thank you!</w:t>
      </w:r>
    </w:p>
    <w:p w14:paraId="25211381" w14:textId="051B0180" w:rsidR="00AF596D" w:rsidRDefault="00AF596D">
      <w:r>
        <w:t>Julie</w:t>
      </w:r>
    </w:p>
    <w:p w14:paraId="78153AC7" w14:textId="77777777" w:rsidR="00AF596D" w:rsidRPr="00AF596D" w:rsidRDefault="00AF596D"/>
    <w:p w14:paraId="57406DD3" w14:textId="77777777" w:rsidR="00AF596D" w:rsidRPr="00AF596D" w:rsidRDefault="00AF596D" w:rsidP="00AF596D">
      <w:pPr>
        <w:spacing w:after="120"/>
        <w:rPr>
          <w:b/>
          <w:bCs/>
          <w:i/>
          <w:iCs/>
        </w:rPr>
      </w:pPr>
      <w:r w:rsidRPr="00AF596D">
        <w:rPr>
          <w:b/>
          <w:bCs/>
          <w:i/>
          <w:iCs/>
        </w:rPr>
        <w:t>Listserv Email Promo:</w:t>
      </w:r>
    </w:p>
    <w:p w14:paraId="5DC21E61" w14:textId="77777777" w:rsidR="00AF596D" w:rsidRDefault="00AF596D" w:rsidP="00AF596D">
      <w:pPr>
        <w:spacing w:after="120"/>
      </w:pPr>
      <w:r>
        <w:t>Subject Line: New AAP Resource on Youth Tobacco Cessation!</w:t>
      </w:r>
    </w:p>
    <w:p w14:paraId="7B1455A9" w14:textId="77777777" w:rsidR="00AF596D" w:rsidRDefault="00AF596D" w:rsidP="00AF596D">
      <w:pPr>
        <w:spacing w:after="120"/>
      </w:pPr>
      <w:r>
        <w:t>Dear Colleagues,</w:t>
      </w:r>
    </w:p>
    <w:p w14:paraId="56274036" w14:textId="0561B33D" w:rsidR="00AF596D" w:rsidRDefault="00AF596D" w:rsidP="00AF596D">
      <w:pPr>
        <w:spacing w:after="120"/>
      </w:pPr>
      <w:r>
        <w:t xml:space="preserve">The American Academy of Pediatrics (AAP) is proud to share a new resource: </w:t>
      </w:r>
      <w:hyperlink r:id="rId7" w:history="1">
        <w:r w:rsidR="00F54FE2" w:rsidRPr="00F54FE2">
          <w:rPr>
            <w:rStyle w:val="Hyperlink"/>
            <w:b/>
            <w:bCs/>
          </w:rPr>
          <w:t>Youth Tobac</w:t>
        </w:r>
        <w:r w:rsidR="00F54FE2" w:rsidRPr="00F54FE2">
          <w:rPr>
            <w:rStyle w:val="Hyperlink"/>
            <w:b/>
            <w:bCs/>
          </w:rPr>
          <w:t>c</w:t>
        </w:r>
        <w:r w:rsidR="00F54FE2" w:rsidRPr="00F54FE2">
          <w:rPr>
            <w:rStyle w:val="Hyperlink"/>
            <w:b/>
            <w:bCs/>
          </w:rPr>
          <w:t>o Cessation: Considerations for Cli</w:t>
        </w:r>
        <w:r w:rsidR="00F54FE2" w:rsidRPr="00F54FE2">
          <w:rPr>
            <w:rStyle w:val="Hyperlink"/>
            <w:b/>
            <w:bCs/>
          </w:rPr>
          <w:t>n</w:t>
        </w:r>
        <w:r w:rsidR="00F54FE2" w:rsidRPr="00F54FE2">
          <w:rPr>
            <w:rStyle w:val="Hyperlink"/>
            <w:b/>
            <w:bCs/>
          </w:rPr>
          <w:t>icians.</w:t>
        </w:r>
      </w:hyperlink>
      <w:r>
        <w:t xml:space="preserve"> </w:t>
      </w:r>
    </w:p>
    <w:p w14:paraId="3AD72F5C" w14:textId="77777777" w:rsidR="00AF596D" w:rsidRDefault="00AF596D" w:rsidP="00AF596D">
      <w:pPr>
        <w:spacing w:after="120"/>
      </w:pPr>
      <w:r>
        <w:t>This brief, practical guide is designed to support pediatric health clinicians in screening patients for tobacco use and providing behavioral and pharmacological support to help youth quit. The resource uses an easy, 3-step model, “</w:t>
      </w:r>
      <w:hyperlink r:id="rId8" w:history="1">
        <w:r>
          <w:rPr>
            <w:rStyle w:val="Hyperlink"/>
          </w:rPr>
          <w:t>Ask-Counsel-Treat (ACT)</w:t>
        </w:r>
      </w:hyperlink>
      <w:r>
        <w:t xml:space="preserve">,” to guide clinical interactions around cessation. </w:t>
      </w:r>
    </w:p>
    <w:p w14:paraId="6C40AACB" w14:textId="77777777" w:rsidR="00AF596D" w:rsidRDefault="00AF596D" w:rsidP="00AF596D">
      <w:pPr>
        <w:spacing w:after="0"/>
      </w:pPr>
      <w:r>
        <w:t>Topics Covered:</w:t>
      </w:r>
    </w:p>
    <w:p w14:paraId="07E52DCD" w14:textId="77777777" w:rsidR="00AF596D" w:rsidRDefault="00AF596D" w:rsidP="00AF596D">
      <w:pPr>
        <w:pStyle w:val="ListParagraph"/>
        <w:numPr>
          <w:ilvl w:val="0"/>
          <w:numId w:val="2"/>
        </w:numPr>
        <w:spacing w:before="0" w:after="0"/>
        <w:rPr>
          <w:rFonts w:ascii="Alegreya Sans" w:hAnsi="Alegreya Sans"/>
          <w:sz w:val="22"/>
        </w:rPr>
      </w:pPr>
      <w:r>
        <w:rPr>
          <w:rFonts w:ascii="Alegreya Sans" w:hAnsi="Alegreya Sans"/>
          <w:sz w:val="22"/>
        </w:rPr>
        <w:t>Screening for tobacco use, including smoking and vaping</w:t>
      </w:r>
    </w:p>
    <w:p w14:paraId="7E1AD548" w14:textId="77777777" w:rsidR="00AF596D" w:rsidRDefault="00F54FE2" w:rsidP="00AF596D">
      <w:pPr>
        <w:pStyle w:val="ListParagraph"/>
        <w:numPr>
          <w:ilvl w:val="0"/>
          <w:numId w:val="2"/>
        </w:numPr>
        <w:spacing w:before="0" w:after="0"/>
        <w:rPr>
          <w:rFonts w:ascii="Alegreya Sans" w:hAnsi="Alegreya Sans"/>
          <w:sz w:val="22"/>
        </w:rPr>
      </w:pPr>
      <w:hyperlink r:id="rId9" w:history="1">
        <w:r w:rsidR="00AF596D">
          <w:rPr>
            <w:rStyle w:val="Hyperlink"/>
            <w:rFonts w:ascii="Alegreya Sans" w:hAnsi="Alegreya Sans"/>
            <w:sz w:val="22"/>
          </w:rPr>
          <w:t>Behavioral cessation supports</w:t>
        </w:r>
      </w:hyperlink>
      <w:r w:rsidR="00AF596D">
        <w:rPr>
          <w:rFonts w:ascii="Alegreya Sans" w:hAnsi="Alegreya Sans"/>
          <w:sz w:val="22"/>
        </w:rPr>
        <w:t xml:space="preserve">, including texting services, </w:t>
      </w:r>
      <w:proofErr w:type="spellStart"/>
      <w:r w:rsidR="00AF596D">
        <w:rPr>
          <w:rFonts w:ascii="Alegreya Sans" w:hAnsi="Alegreya Sans"/>
          <w:sz w:val="22"/>
        </w:rPr>
        <w:t>quitlines</w:t>
      </w:r>
      <w:proofErr w:type="spellEnd"/>
      <w:r w:rsidR="00AF596D">
        <w:rPr>
          <w:rFonts w:ascii="Alegreya Sans" w:hAnsi="Alegreya Sans"/>
          <w:sz w:val="22"/>
        </w:rPr>
        <w:t>, online resources</w:t>
      </w:r>
    </w:p>
    <w:p w14:paraId="667513C1" w14:textId="77777777" w:rsidR="00AF596D" w:rsidRDefault="00AF596D" w:rsidP="00AF596D">
      <w:pPr>
        <w:pStyle w:val="ListParagraph"/>
        <w:numPr>
          <w:ilvl w:val="0"/>
          <w:numId w:val="2"/>
        </w:numPr>
        <w:spacing w:before="0" w:after="0"/>
        <w:rPr>
          <w:rFonts w:ascii="Alegreya Sans" w:hAnsi="Alegreya Sans"/>
          <w:sz w:val="22"/>
        </w:rPr>
      </w:pPr>
      <w:r>
        <w:rPr>
          <w:rFonts w:ascii="Alegreya Sans" w:hAnsi="Alegreya Sans"/>
          <w:sz w:val="22"/>
        </w:rPr>
        <w:t xml:space="preserve">Pharmacological supports, including </w:t>
      </w:r>
      <w:hyperlink r:id="rId10" w:history="1">
        <w:r>
          <w:rPr>
            <w:rStyle w:val="Hyperlink"/>
            <w:rFonts w:ascii="Alegreya Sans" w:hAnsi="Alegreya Sans"/>
            <w:sz w:val="22"/>
          </w:rPr>
          <w:t>Nicotine Replacement Therapy</w:t>
        </w:r>
      </w:hyperlink>
      <w:r>
        <w:rPr>
          <w:rFonts w:ascii="Alegreya Sans" w:hAnsi="Alegreya Sans"/>
          <w:sz w:val="22"/>
        </w:rPr>
        <w:t xml:space="preserve"> </w:t>
      </w:r>
    </w:p>
    <w:p w14:paraId="3483C2D5" w14:textId="77777777" w:rsidR="00AF596D" w:rsidRDefault="00F54FE2" w:rsidP="00AF596D">
      <w:pPr>
        <w:pStyle w:val="ListParagraph"/>
        <w:numPr>
          <w:ilvl w:val="0"/>
          <w:numId w:val="2"/>
        </w:numPr>
        <w:spacing w:before="0" w:after="0"/>
        <w:rPr>
          <w:rFonts w:ascii="Alegreya Sans" w:hAnsi="Alegreya Sans"/>
          <w:sz w:val="22"/>
        </w:rPr>
      </w:pPr>
      <w:hyperlink r:id="rId11" w:history="1">
        <w:r w:rsidR="00AF596D">
          <w:rPr>
            <w:rStyle w:val="Hyperlink"/>
            <w:rFonts w:ascii="Alegreya Sans" w:hAnsi="Alegreya Sans"/>
            <w:sz w:val="22"/>
          </w:rPr>
          <w:t>Flowchart</w:t>
        </w:r>
      </w:hyperlink>
      <w:r w:rsidR="00AF596D">
        <w:rPr>
          <w:rFonts w:ascii="Alegreya Sans" w:hAnsi="Alegreya Sans"/>
          <w:sz w:val="22"/>
        </w:rPr>
        <w:t xml:space="preserve"> for clinical interactions</w:t>
      </w:r>
    </w:p>
    <w:p w14:paraId="3DD6388D" w14:textId="77777777" w:rsidR="00AF596D" w:rsidRDefault="00AF596D" w:rsidP="00AF596D">
      <w:pPr>
        <w:pStyle w:val="ListParagraph"/>
        <w:numPr>
          <w:ilvl w:val="0"/>
          <w:numId w:val="2"/>
        </w:numPr>
        <w:spacing w:before="0"/>
        <w:rPr>
          <w:rFonts w:ascii="Alegreya Sans" w:hAnsi="Alegreya Sans"/>
          <w:sz w:val="22"/>
        </w:rPr>
      </w:pPr>
      <w:r>
        <w:rPr>
          <w:rFonts w:ascii="Alegreya Sans" w:hAnsi="Alegreya Sans"/>
          <w:sz w:val="22"/>
        </w:rPr>
        <w:t xml:space="preserve">Using the </w:t>
      </w:r>
      <w:hyperlink r:id="rId12" w:history="1">
        <w:r>
          <w:rPr>
            <w:rStyle w:val="Hyperlink"/>
            <w:rFonts w:ascii="Alegreya Sans" w:hAnsi="Alegreya Sans"/>
            <w:sz w:val="22"/>
          </w:rPr>
          <w:t>EHR</w:t>
        </w:r>
      </w:hyperlink>
      <w:r>
        <w:rPr>
          <w:rFonts w:ascii="Alegreya Sans" w:hAnsi="Alegreya Sans"/>
          <w:sz w:val="22"/>
        </w:rPr>
        <w:t xml:space="preserve"> to identify and address tobacco use</w:t>
      </w:r>
    </w:p>
    <w:p w14:paraId="5E444486" w14:textId="52E3AC76" w:rsidR="00AF596D" w:rsidRDefault="00AF596D" w:rsidP="00AF596D">
      <w:pPr>
        <w:spacing w:after="120"/>
      </w:pPr>
      <w:r>
        <w:t>Thi</w:t>
      </w:r>
      <w:r w:rsidRPr="00AF596D">
        <w:t xml:space="preserve">s </w:t>
      </w:r>
      <w:hyperlink r:id="rId13" w:history="1">
        <w:r w:rsidRPr="00AF596D">
          <w:rPr>
            <w:rStyle w:val="Hyperlink"/>
            <w:color w:val="auto"/>
            <w:u w:val="none"/>
          </w:rPr>
          <w:t>resource</w:t>
        </w:r>
      </w:hyperlink>
      <w:r>
        <w:t xml:space="preserve"> is free! Pediatric health clinicians and health professionals can find these materials at </w:t>
      </w:r>
      <w:hyperlink r:id="rId14" w:history="1">
        <w:r w:rsidRPr="000E66A9">
          <w:rPr>
            <w:rStyle w:val="Hyperlink"/>
          </w:rPr>
          <w:t>www.aap.org/cessation</w:t>
        </w:r>
      </w:hyperlink>
      <w:r>
        <w:t xml:space="preserve">. </w:t>
      </w:r>
    </w:p>
    <w:p w14:paraId="7C05B792" w14:textId="77777777" w:rsidR="00AF596D" w:rsidRDefault="00AF596D" w:rsidP="00AF596D">
      <w:pPr>
        <w:spacing w:after="120"/>
      </w:pPr>
    </w:p>
    <w:p w14:paraId="026055A7" w14:textId="77777777" w:rsidR="00AF596D" w:rsidRPr="00AF596D" w:rsidRDefault="00AF596D" w:rsidP="00AF596D">
      <w:pPr>
        <w:spacing w:after="120"/>
        <w:rPr>
          <w:b/>
          <w:bCs/>
          <w:i/>
          <w:iCs/>
        </w:rPr>
      </w:pPr>
      <w:r w:rsidRPr="00AF596D">
        <w:rPr>
          <w:b/>
          <w:bCs/>
          <w:i/>
          <w:iCs/>
        </w:rPr>
        <w:t>Newsletter Blurb Promo:</w:t>
      </w:r>
    </w:p>
    <w:p w14:paraId="44C293A7" w14:textId="77777777" w:rsidR="00AF596D" w:rsidRPr="00AF596D" w:rsidRDefault="00AF596D" w:rsidP="00AF596D">
      <w:pPr>
        <w:spacing w:after="120"/>
        <w:rPr>
          <w:b/>
          <w:bCs/>
        </w:rPr>
      </w:pPr>
      <w:r w:rsidRPr="00AF596D">
        <w:rPr>
          <w:b/>
          <w:bCs/>
        </w:rPr>
        <w:t>New AAP Resource—Youth Tobacco Cessation: Considerations for Clinicians</w:t>
      </w:r>
    </w:p>
    <w:p w14:paraId="577A4189" w14:textId="1EA636A9" w:rsidR="00AF596D" w:rsidRDefault="00AF596D" w:rsidP="00AF596D">
      <w:pPr>
        <w:spacing w:after="120"/>
      </w:pPr>
      <w:r>
        <w:t xml:space="preserve">The American Academy of Pediatrics (AAP) has published a new resource, </w:t>
      </w:r>
      <w:hyperlink r:id="rId15" w:history="1">
        <w:r w:rsidRPr="00F54FE2">
          <w:rPr>
            <w:rStyle w:val="Hyperlink"/>
            <w:b/>
            <w:bCs/>
          </w:rPr>
          <w:t>Youth Toba</w:t>
        </w:r>
        <w:r w:rsidRPr="00F54FE2">
          <w:rPr>
            <w:rStyle w:val="Hyperlink"/>
            <w:b/>
            <w:bCs/>
          </w:rPr>
          <w:t>c</w:t>
        </w:r>
        <w:r w:rsidRPr="00F54FE2">
          <w:rPr>
            <w:rStyle w:val="Hyperlink"/>
            <w:b/>
            <w:bCs/>
          </w:rPr>
          <w:t>co Cessation: Considerations for Clinicians</w:t>
        </w:r>
      </w:hyperlink>
      <w:r w:rsidRPr="00F54FE2">
        <w:t>.</w:t>
      </w:r>
      <w:r>
        <w:rPr>
          <w:b/>
          <w:bCs/>
        </w:rPr>
        <w:t xml:space="preserve"> </w:t>
      </w:r>
      <w:r>
        <w:t>This brief, practical guide is designed to support pediatric health clinicians in screening patients for tobacco use and providing behavioral and pharmacological support to help youth quit. The resource uses an easy, 3-step model, “</w:t>
      </w:r>
      <w:hyperlink r:id="rId16" w:history="1">
        <w:r>
          <w:rPr>
            <w:rStyle w:val="Hyperlink"/>
          </w:rPr>
          <w:t>Ask-Counsel-Treat (ACT),”</w:t>
        </w:r>
      </w:hyperlink>
      <w:r>
        <w:t xml:space="preserve"> to guide clinical interactions around cessation. Topics covered in the guide include screening for tobacco use, behavioral and pharmacological cessation supports, a flowchart for clinical interactions, and use of the EHR to identify and address tobacco use. This </w:t>
      </w:r>
      <w:hyperlink r:id="rId17" w:history="1">
        <w:r>
          <w:rPr>
            <w:rStyle w:val="Hyperlink"/>
          </w:rPr>
          <w:t>resource</w:t>
        </w:r>
      </w:hyperlink>
      <w:r>
        <w:t xml:space="preserve"> is free! Pediatric health clinicians and health professionals can find these materials at </w:t>
      </w:r>
      <w:hyperlink r:id="rId18" w:history="1">
        <w:r w:rsidRPr="000E66A9">
          <w:rPr>
            <w:rStyle w:val="Hyperlink"/>
          </w:rPr>
          <w:t>www.aap.org/cessation</w:t>
        </w:r>
      </w:hyperlink>
      <w:r>
        <w:t xml:space="preserve">. </w:t>
      </w:r>
    </w:p>
    <w:sectPr w:rsidR="00AF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F44"/>
    <w:multiLevelType w:val="hybridMultilevel"/>
    <w:tmpl w:val="1C9600C8"/>
    <w:lvl w:ilvl="0" w:tplc="FD94A3A2">
      <w:start w:val="1"/>
      <w:numFmt w:val="decimal"/>
      <w:pStyle w:val="NumberedBody"/>
      <w:lvlText w:val="%1."/>
      <w:lvlJc w:val="left"/>
      <w:pPr>
        <w:ind w:left="458" w:hanging="358"/>
      </w:pPr>
      <w:rPr>
        <w:rFonts w:ascii="Calibri" w:eastAsia="Calibri" w:hAnsi="Calibri" w:cs="Calibri" w:hint="default"/>
        <w:w w:val="100"/>
        <w:sz w:val="23"/>
        <w:szCs w:val="23"/>
      </w:rPr>
    </w:lvl>
    <w:lvl w:ilvl="1" w:tplc="DC147F3C">
      <w:numFmt w:val="bullet"/>
      <w:pStyle w:val="ListParagraph"/>
      <w:lvlText w:val=""/>
      <w:lvlJc w:val="left"/>
      <w:pPr>
        <w:ind w:left="818" w:hanging="360"/>
      </w:pPr>
      <w:rPr>
        <w:rFonts w:ascii="Symbol" w:eastAsia="Symbol" w:hAnsi="Symbol" w:cs="Symbol" w:hint="default"/>
        <w:color w:val="803E91"/>
        <w:w w:val="100"/>
        <w:sz w:val="23"/>
        <w:szCs w:val="23"/>
      </w:rPr>
    </w:lvl>
    <w:lvl w:ilvl="2" w:tplc="32D6A85E">
      <w:numFmt w:val="bullet"/>
      <w:lvlText w:val="•"/>
      <w:lvlJc w:val="left"/>
      <w:pPr>
        <w:ind w:left="1178" w:hanging="360"/>
      </w:pPr>
      <w:rPr>
        <w:rFonts w:ascii="Courier New" w:eastAsia="Courier New" w:hAnsi="Courier New" w:cs="Courier New" w:hint="default"/>
        <w:w w:val="100"/>
        <w:sz w:val="23"/>
        <w:szCs w:val="23"/>
      </w:rPr>
    </w:lvl>
    <w:lvl w:ilvl="3" w:tplc="311C465E">
      <w:numFmt w:val="bullet"/>
      <w:lvlText w:val="•"/>
      <w:lvlJc w:val="left"/>
      <w:pPr>
        <w:ind w:left="2560" w:hanging="360"/>
      </w:pPr>
    </w:lvl>
    <w:lvl w:ilvl="4" w:tplc="FFECC248">
      <w:numFmt w:val="bullet"/>
      <w:lvlText w:val="•"/>
      <w:lvlJc w:val="left"/>
      <w:pPr>
        <w:ind w:left="3940" w:hanging="360"/>
      </w:pPr>
    </w:lvl>
    <w:lvl w:ilvl="5" w:tplc="C1300908">
      <w:numFmt w:val="bullet"/>
      <w:lvlText w:val="•"/>
      <w:lvlJc w:val="left"/>
      <w:pPr>
        <w:ind w:left="5320" w:hanging="360"/>
      </w:pPr>
    </w:lvl>
    <w:lvl w:ilvl="6" w:tplc="ECFAC26C">
      <w:numFmt w:val="bullet"/>
      <w:lvlText w:val="•"/>
      <w:lvlJc w:val="left"/>
      <w:pPr>
        <w:ind w:left="6700" w:hanging="360"/>
      </w:pPr>
    </w:lvl>
    <w:lvl w:ilvl="7" w:tplc="45265498">
      <w:numFmt w:val="bullet"/>
      <w:lvlText w:val="•"/>
      <w:lvlJc w:val="left"/>
      <w:pPr>
        <w:ind w:left="8080" w:hanging="360"/>
      </w:pPr>
    </w:lvl>
    <w:lvl w:ilvl="8" w:tplc="9E6AE282">
      <w:numFmt w:val="bullet"/>
      <w:lvlText w:val="•"/>
      <w:lvlJc w:val="left"/>
      <w:pPr>
        <w:ind w:left="9460" w:hanging="360"/>
      </w:pPr>
    </w:lvl>
  </w:abstractNum>
  <w:abstractNum w:abstractNumId="1" w15:restartNumberingAfterBreak="0">
    <w:nsid w:val="2E436E00"/>
    <w:multiLevelType w:val="hybridMultilevel"/>
    <w:tmpl w:val="8CF0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6D"/>
    <w:rsid w:val="008E0514"/>
    <w:rsid w:val="00AF596D"/>
    <w:rsid w:val="00F54FE2"/>
    <w:rsid w:val="00FA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8380"/>
  <w15:chartTrackingRefBased/>
  <w15:docId w15:val="{8DFD5F14-F1C7-48FB-9A2B-77A6AFC4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6D"/>
    <w:rPr>
      <w:color w:val="0563C1" w:themeColor="hyperlink"/>
      <w:u w:val="single"/>
    </w:rPr>
  </w:style>
  <w:style w:type="paragraph" w:styleId="CommentText">
    <w:name w:val="annotation text"/>
    <w:basedOn w:val="Normal"/>
    <w:link w:val="CommentTextChar"/>
    <w:uiPriority w:val="99"/>
    <w:semiHidden/>
    <w:unhideWhenUsed/>
    <w:rsid w:val="00AF596D"/>
    <w:pPr>
      <w:widowControl w:val="0"/>
      <w:autoSpaceDE w:val="0"/>
      <w:autoSpaceDN w:val="0"/>
      <w:spacing w:before="120" w:after="24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F596D"/>
    <w:rPr>
      <w:rFonts w:ascii="Calibri" w:eastAsia="Calibri" w:hAnsi="Calibri" w:cs="Calibri"/>
      <w:sz w:val="20"/>
      <w:szCs w:val="20"/>
    </w:rPr>
  </w:style>
  <w:style w:type="character" w:customStyle="1" w:styleId="ListParagraphChar">
    <w:name w:val="List Paragraph Char"/>
    <w:aliases w:val="List Paragraph (numbered (a)) Char,Question wording Char"/>
    <w:basedOn w:val="DefaultParagraphFont"/>
    <w:link w:val="ListParagraph"/>
    <w:uiPriority w:val="34"/>
    <w:locked/>
    <w:rsid w:val="00AF596D"/>
    <w:rPr>
      <w:rFonts w:ascii="Calibri" w:eastAsia="Calibri" w:hAnsi="Calibri" w:cs="Calibri"/>
      <w:sz w:val="23"/>
    </w:rPr>
  </w:style>
  <w:style w:type="paragraph" w:styleId="ListParagraph">
    <w:name w:val="List Paragraph"/>
    <w:aliases w:val="List Paragraph (numbered (a)),Question wording"/>
    <w:basedOn w:val="Normal"/>
    <w:link w:val="ListParagraphChar"/>
    <w:uiPriority w:val="34"/>
    <w:qFormat/>
    <w:rsid w:val="00AF596D"/>
    <w:pPr>
      <w:widowControl w:val="0"/>
      <w:numPr>
        <w:ilvl w:val="1"/>
        <w:numId w:val="1"/>
      </w:numPr>
      <w:tabs>
        <w:tab w:val="left" w:pos="819"/>
      </w:tabs>
      <w:autoSpaceDE w:val="0"/>
      <w:autoSpaceDN w:val="0"/>
      <w:spacing w:before="120" w:after="120" w:line="240" w:lineRule="auto"/>
    </w:pPr>
    <w:rPr>
      <w:rFonts w:ascii="Calibri" w:eastAsia="Calibri" w:hAnsi="Calibri" w:cs="Calibri"/>
      <w:sz w:val="23"/>
    </w:rPr>
  </w:style>
  <w:style w:type="paragraph" w:customStyle="1" w:styleId="NumberedBody">
    <w:name w:val="Numbered Body"/>
    <w:basedOn w:val="ListParagraph"/>
    <w:uiPriority w:val="1"/>
    <w:qFormat/>
    <w:rsid w:val="00AF596D"/>
    <w:pPr>
      <w:numPr>
        <w:ilvl w:val="0"/>
      </w:numPr>
      <w:tabs>
        <w:tab w:val="num" w:pos="360"/>
        <w:tab w:val="left" w:pos="459"/>
      </w:tabs>
      <w:spacing w:before="1"/>
      <w:ind w:left="818" w:hanging="357"/>
    </w:pPr>
  </w:style>
  <w:style w:type="character" w:styleId="CommentReference">
    <w:name w:val="annotation reference"/>
    <w:basedOn w:val="DefaultParagraphFont"/>
    <w:uiPriority w:val="99"/>
    <w:semiHidden/>
    <w:unhideWhenUsed/>
    <w:rsid w:val="00AF596D"/>
    <w:rPr>
      <w:sz w:val="16"/>
      <w:szCs w:val="16"/>
    </w:rPr>
  </w:style>
  <w:style w:type="character" w:styleId="UnresolvedMention">
    <w:name w:val="Unresolved Mention"/>
    <w:basedOn w:val="DefaultParagraphFont"/>
    <w:uiPriority w:val="99"/>
    <w:semiHidden/>
    <w:unhideWhenUsed/>
    <w:rsid w:val="00AF596D"/>
    <w:rPr>
      <w:color w:val="605E5C"/>
      <w:shd w:val="clear" w:color="auto" w:fill="E1DFDD"/>
    </w:rPr>
  </w:style>
  <w:style w:type="character" w:styleId="FollowedHyperlink">
    <w:name w:val="FollowedHyperlink"/>
    <w:basedOn w:val="DefaultParagraphFont"/>
    <w:uiPriority w:val="99"/>
    <w:semiHidden/>
    <w:unhideWhenUsed/>
    <w:rsid w:val="00F54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p.org/en/patient-care/tobacco-control-and-prevention/youth-tobacco-cessation/tobacco-use-considerations-for-clinicians/" TargetMode="External"/><Relationship Id="rId13" Type="http://schemas.openxmlformats.org/officeDocument/2006/relationships/hyperlink" Target="https://services.aap.org/en/patient-care/tobacco-control-and-prevention/youth-tobacco-cessation/tobacco-use-considerations-for-clinicians/" TargetMode="External"/><Relationship Id="rId18" Type="http://schemas.openxmlformats.org/officeDocument/2006/relationships/hyperlink" Target="http://www.aap.org/cessation" TargetMode="External"/><Relationship Id="rId3" Type="http://schemas.openxmlformats.org/officeDocument/2006/relationships/settings" Target="settings.xml"/><Relationship Id="rId7" Type="http://schemas.openxmlformats.org/officeDocument/2006/relationships/hyperlink" Target="http://www.aap.org/cessation" TargetMode="External"/><Relationship Id="rId12" Type="http://schemas.openxmlformats.org/officeDocument/2006/relationships/hyperlink" Target="https://downloads.aap.org/AAP/PDF/AAP_Cessation_EHR_Tipsheet.pdf" TargetMode="External"/><Relationship Id="rId17" Type="http://schemas.openxmlformats.org/officeDocument/2006/relationships/hyperlink" Target="https://services.aap.org/en/patient-care/tobacco-control-and-prevention/youth-tobacco-cessation/tobacco-use-considerations-for-clinicians/" TargetMode="External"/><Relationship Id="rId2" Type="http://schemas.openxmlformats.org/officeDocument/2006/relationships/styles" Target="styles.xml"/><Relationship Id="rId16" Type="http://schemas.openxmlformats.org/officeDocument/2006/relationships/hyperlink" Target="https://services.aap.org/en/patient-care/tobacco-control-and-prevention/youth-tobacco-cessation/tobacco-use-considerations-for-clinicia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Gorzkowski@aap.org" TargetMode="External"/><Relationship Id="rId11" Type="http://schemas.openxmlformats.org/officeDocument/2006/relationships/hyperlink" Target="https://downloads.aap.org/AAP/PDF/AAP_Cessation_ACT_Flowchart.pdf" TargetMode="External"/><Relationship Id="rId5" Type="http://schemas.openxmlformats.org/officeDocument/2006/relationships/hyperlink" Target="mailto:jgorzkowski@aap.org" TargetMode="External"/><Relationship Id="rId15" Type="http://schemas.openxmlformats.org/officeDocument/2006/relationships/hyperlink" Target="http://www.aap.org/cessation" TargetMode="External"/><Relationship Id="rId10" Type="http://schemas.openxmlformats.org/officeDocument/2006/relationships/hyperlink" Target="https://services.aap.org/en/patient-care/tobacco-control-and-prevention/youth-tobacco-cessation/nicotine-replacement-therapy-and-adolescent-pati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org/help2quit" TargetMode="External"/><Relationship Id="rId14" Type="http://schemas.openxmlformats.org/officeDocument/2006/relationships/hyperlink" Target="http://www.aap.org/ces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Gorzkowski, Julie</dc:creator>
  <cp:keywords/>
  <dc:description/>
  <cp:lastModifiedBy>Gorzkowski, Julie</cp:lastModifiedBy>
  <cp:revision>2</cp:revision>
  <dcterms:created xsi:type="dcterms:W3CDTF">2021-07-02T15:57:00Z</dcterms:created>
  <dcterms:modified xsi:type="dcterms:W3CDTF">2021-07-06T18:43:00Z</dcterms:modified>
</cp:coreProperties>
</file>