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9F4F0" w14:textId="77777777" w:rsidR="0051391A" w:rsidRDefault="0051391A" w:rsidP="00DF1AFB">
      <w:pPr>
        <w:spacing w:after="0" w:line="240" w:lineRule="auto"/>
        <w:rPr>
          <w:rFonts w:ascii="Arial Bold" w:eastAsia="Times New Roman" w:hAnsi="Arial Bold" w:cs="Times New Roman"/>
          <w:noProof/>
          <w:color w:val="0B3677"/>
          <w:spacing w:val="6"/>
          <w:sz w:val="32"/>
          <w:szCs w:val="32"/>
        </w:rPr>
      </w:pPr>
      <w:bookmarkStart w:id="0" w:name="_Hlk14342762"/>
      <w:bookmarkStart w:id="1" w:name="_GoBack"/>
      <w:bookmarkEnd w:id="1"/>
    </w:p>
    <w:p w14:paraId="1E2CADD5" w14:textId="559DB3DC" w:rsidR="00507867" w:rsidRPr="0051391A" w:rsidRDefault="006105DD" w:rsidP="00DF1AFB">
      <w:pPr>
        <w:spacing w:after="0" w:line="240" w:lineRule="auto"/>
        <w:rPr>
          <w:rFonts w:ascii="Arial" w:hAnsi="Arial" w:cs="Arial"/>
          <w:b/>
        </w:rPr>
      </w:pPr>
      <w:r w:rsidRPr="0051391A">
        <w:rPr>
          <w:rFonts w:ascii="Arial" w:eastAsia="Times New Roman" w:hAnsi="Arial" w:cs="Arial"/>
          <w:noProof/>
          <w:color w:val="0B3677"/>
          <w:spacing w:val="6"/>
          <w:sz w:val="32"/>
          <w:szCs w:val="32"/>
        </w:rPr>
        <w:t xml:space="preserve">TTC Evaluators Special Interest Group </w:t>
      </w:r>
      <w:bookmarkEnd w:id="0"/>
      <w:r w:rsidR="00507867" w:rsidRPr="0051391A">
        <w:rPr>
          <w:rFonts w:ascii="Arial" w:hAnsi="Arial" w:cs="Arial"/>
          <w:b/>
        </w:rPr>
        <w:br/>
        <w:t>March 25, 2020</w:t>
      </w:r>
      <w:r w:rsidR="0051391A" w:rsidRPr="0051391A">
        <w:rPr>
          <w:rFonts w:ascii="Arial" w:hAnsi="Arial" w:cs="Arial"/>
          <w:b/>
        </w:rPr>
        <w:t xml:space="preserve"> 1-2 pm ET via Zoom</w:t>
      </w:r>
    </w:p>
    <w:p w14:paraId="30D69FB7" w14:textId="32507B5F" w:rsidR="00A177E1" w:rsidRPr="0051391A" w:rsidRDefault="00A177E1" w:rsidP="00DF1AFB">
      <w:pPr>
        <w:spacing w:after="0" w:line="240" w:lineRule="auto"/>
        <w:rPr>
          <w:rFonts w:ascii="Arial" w:hAnsi="Arial" w:cs="Arial"/>
          <w:b/>
        </w:rPr>
      </w:pPr>
      <w:r w:rsidRPr="0051391A">
        <w:rPr>
          <w:rFonts w:ascii="Arial" w:hAnsi="Arial" w:cs="Arial"/>
          <w:b/>
        </w:rPr>
        <w:t xml:space="preserve">Present: </w:t>
      </w:r>
      <w:r w:rsidR="00DF1AFB">
        <w:rPr>
          <w:rFonts w:ascii="Arial" w:hAnsi="Arial" w:cs="Arial"/>
          <w:sz w:val="20"/>
        </w:rPr>
        <w:t xml:space="preserve">34 people from across the </w:t>
      </w:r>
      <w:proofErr w:type="spellStart"/>
      <w:r w:rsidR="00DF1AFB">
        <w:rPr>
          <w:rFonts w:ascii="Arial" w:hAnsi="Arial" w:cs="Arial"/>
          <w:sz w:val="20"/>
        </w:rPr>
        <w:t>TTCs</w:t>
      </w:r>
      <w:proofErr w:type="spellEnd"/>
    </w:p>
    <w:p w14:paraId="1AB3ED83" w14:textId="731EE68E" w:rsidR="0051391A" w:rsidRPr="0051391A" w:rsidRDefault="0051391A" w:rsidP="00DF1AFB">
      <w:pPr>
        <w:spacing w:after="0" w:line="240" w:lineRule="auto"/>
        <w:rPr>
          <w:rFonts w:ascii="Arial" w:hAnsi="Arial" w:cs="Arial"/>
          <w:b/>
        </w:rPr>
      </w:pPr>
      <w:r w:rsidRPr="0051391A">
        <w:rPr>
          <w:rFonts w:ascii="Arial" w:hAnsi="Arial" w:cs="Arial"/>
          <w:b/>
        </w:rPr>
        <w:t>AGENDA</w:t>
      </w:r>
    </w:p>
    <w:tbl>
      <w:tblPr>
        <w:tblStyle w:val="PCGGeneralTable1"/>
        <w:tblW w:w="9180" w:type="dxa"/>
        <w:tblLayout w:type="fixed"/>
        <w:tblLook w:val="0400" w:firstRow="0" w:lastRow="0" w:firstColumn="0" w:lastColumn="0" w:noHBand="0" w:noVBand="1"/>
      </w:tblPr>
      <w:tblGrid>
        <w:gridCol w:w="1980"/>
        <w:gridCol w:w="1530"/>
        <w:gridCol w:w="5670"/>
      </w:tblGrid>
      <w:tr w:rsidR="00DF1AFB" w:rsidRPr="00DF1AFB" w14:paraId="5B96BD10" w14:textId="39A07C77" w:rsidTr="00DF1AFB">
        <w:trPr>
          <w:cnfStyle w:val="000000100000" w:firstRow="0" w:lastRow="0" w:firstColumn="0" w:lastColumn="0" w:oddVBand="0" w:evenVBand="0" w:oddHBand="1" w:evenHBand="0" w:firstRowFirstColumn="0" w:firstRowLastColumn="0" w:lastRowFirstColumn="0" w:lastRowLastColumn="0"/>
          <w:trHeight w:val="755"/>
        </w:trPr>
        <w:tc>
          <w:tcPr>
            <w:tcW w:w="1980" w:type="dxa"/>
          </w:tcPr>
          <w:p w14:paraId="77672746" w14:textId="4877C0CB" w:rsidR="00DF1AFB" w:rsidRPr="00DF1AFB" w:rsidRDefault="00DF1AFB" w:rsidP="00DF1AFB">
            <w:pPr>
              <w:spacing w:after="0" w:line="240" w:lineRule="auto"/>
              <w:rPr>
                <w:rFonts w:cs="Arial"/>
                <w:b/>
                <w:bCs/>
                <w:i/>
                <w:iCs/>
                <w:sz w:val="28"/>
                <w:szCs w:val="32"/>
              </w:rPr>
            </w:pPr>
            <w:r w:rsidRPr="00DF1AFB">
              <w:rPr>
                <w:rFonts w:cs="Arial"/>
                <w:b/>
                <w:bCs/>
                <w:i/>
                <w:iCs/>
                <w:sz w:val="28"/>
                <w:szCs w:val="32"/>
              </w:rPr>
              <w:t>Topic</w:t>
            </w:r>
          </w:p>
        </w:tc>
        <w:tc>
          <w:tcPr>
            <w:tcW w:w="1530" w:type="dxa"/>
          </w:tcPr>
          <w:p w14:paraId="4B5AA93B" w14:textId="310D0CC9" w:rsidR="00DF1AFB" w:rsidRPr="00DF1AFB" w:rsidRDefault="00DF1AFB" w:rsidP="00DF1AFB">
            <w:pPr>
              <w:spacing w:after="0" w:line="240" w:lineRule="auto"/>
              <w:rPr>
                <w:rFonts w:cs="Arial"/>
                <w:b/>
                <w:bCs/>
                <w:i/>
                <w:iCs/>
                <w:sz w:val="28"/>
                <w:szCs w:val="32"/>
              </w:rPr>
            </w:pPr>
            <w:r w:rsidRPr="00DF1AFB">
              <w:rPr>
                <w:rFonts w:cs="Arial"/>
                <w:b/>
                <w:bCs/>
                <w:i/>
                <w:iCs/>
                <w:sz w:val="28"/>
                <w:szCs w:val="32"/>
              </w:rPr>
              <w:t>Presenter</w:t>
            </w:r>
          </w:p>
        </w:tc>
        <w:tc>
          <w:tcPr>
            <w:tcW w:w="5670" w:type="dxa"/>
          </w:tcPr>
          <w:p w14:paraId="5CD3A38A" w14:textId="2ECE9B17" w:rsidR="00DF1AFB" w:rsidRPr="00DF1AFB" w:rsidRDefault="00DF1AFB" w:rsidP="00DF1AFB">
            <w:pPr>
              <w:spacing w:after="0" w:line="240" w:lineRule="auto"/>
              <w:rPr>
                <w:rFonts w:cs="Arial"/>
                <w:b/>
                <w:bCs/>
                <w:i/>
                <w:iCs/>
                <w:sz w:val="28"/>
                <w:szCs w:val="32"/>
              </w:rPr>
            </w:pPr>
            <w:r w:rsidRPr="00DF1AFB">
              <w:rPr>
                <w:rFonts w:cs="Arial"/>
                <w:b/>
                <w:bCs/>
                <w:i/>
                <w:iCs/>
                <w:sz w:val="28"/>
                <w:szCs w:val="32"/>
              </w:rPr>
              <w:t>Notes</w:t>
            </w:r>
          </w:p>
        </w:tc>
      </w:tr>
      <w:tr w:rsidR="00DF1AFB" w:rsidRPr="00FA1A5F" w14:paraId="31C4D7D0" w14:textId="0CB19349" w:rsidTr="00DF1AFB">
        <w:trPr>
          <w:cnfStyle w:val="000000010000" w:firstRow="0" w:lastRow="0" w:firstColumn="0" w:lastColumn="0" w:oddVBand="0" w:evenVBand="0" w:oddHBand="0" w:evenHBand="1" w:firstRowFirstColumn="0" w:firstRowLastColumn="0" w:lastRowFirstColumn="0" w:lastRowLastColumn="0"/>
          <w:trHeight w:val="755"/>
        </w:trPr>
        <w:tc>
          <w:tcPr>
            <w:tcW w:w="1980" w:type="dxa"/>
            <w:vAlign w:val="top"/>
          </w:tcPr>
          <w:p w14:paraId="111A01BA" w14:textId="50EFA1DE" w:rsidR="00DF1AFB" w:rsidRPr="00DF1AFB" w:rsidRDefault="00DF1AFB" w:rsidP="00DF1AFB">
            <w:pPr>
              <w:spacing w:after="0" w:line="240" w:lineRule="auto"/>
              <w:rPr>
                <w:rFonts w:cs="Arial"/>
                <w:i/>
                <w:iCs/>
              </w:rPr>
            </w:pPr>
            <w:r>
              <w:rPr>
                <w:rFonts w:cs="Arial"/>
                <w:i/>
                <w:iCs/>
              </w:rPr>
              <w:t>Welcome and agenda review</w:t>
            </w:r>
          </w:p>
        </w:tc>
        <w:tc>
          <w:tcPr>
            <w:tcW w:w="1530" w:type="dxa"/>
            <w:vAlign w:val="top"/>
          </w:tcPr>
          <w:p w14:paraId="5E3BA8BA" w14:textId="08A0DF4C" w:rsidR="00DF1AFB" w:rsidRPr="00FA1A5F" w:rsidRDefault="00DF1AFB" w:rsidP="00DF1AFB">
            <w:pPr>
              <w:spacing w:after="0" w:line="240" w:lineRule="auto"/>
              <w:rPr>
                <w:rFonts w:cs="Arial"/>
                <w:i/>
                <w:iCs/>
              </w:rPr>
            </w:pPr>
            <w:r w:rsidRPr="00FA1A5F">
              <w:rPr>
                <w:rFonts w:cs="Arial"/>
                <w:i/>
                <w:iCs/>
              </w:rPr>
              <w:t>Megan Hawkes</w:t>
            </w:r>
          </w:p>
        </w:tc>
        <w:tc>
          <w:tcPr>
            <w:tcW w:w="5670" w:type="dxa"/>
            <w:vAlign w:val="top"/>
          </w:tcPr>
          <w:p w14:paraId="136C1C88" w14:textId="03B863DA" w:rsidR="00DF1AFB" w:rsidRPr="006921A1" w:rsidRDefault="00DF1AFB" w:rsidP="00DF1AFB">
            <w:pPr>
              <w:spacing w:after="0" w:line="240" w:lineRule="auto"/>
              <w:rPr>
                <w:rFonts w:eastAsia="SimSun" w:cs="Arial"/>
                <w:bCs/>
                <w:caps/>
                <w:spacing w:val="6"/>
              </w:rPr>
            </w:pPr>
            <w:r w:rsidRPr="006921A1">
              <w:rPr>
                <w:rFonts w:cs="Arial"/>
                <w:iCs/>
              </w:rPr>
              <w:t>Megan welcomed participants and introduced new co-chair, Liz Walker.</w:t>
            </w:r>
            <w:r>
              <w:rPr>
                <w:rFonts w:cs="Arial"/>
                <w:iCs/>
              </w:rPr>
              <w:t xml:space="preserve"> Liz briefly introduced herself to the group. </w:t>
            </w:r>
          </w:p>
        </w:tc>
      </w:tr>
      <w:tr w:rsidR="00DF1AFB" w:rsidRPr="00FA1A5F" w14:paraId="383E3EBD" w14:textId="3C05D555" w:rsidTr="00DF1AFB">
        <w:trPr>
          <w:cnfStyle w:val="000000100000" w:firstRow="0" w:lastRow="0" w:firstColumn="0" w:lastColumn="0" w:oddVBand="0" w:evenVBand="0" w:oddHBand="1" w:evenHBand="0" w:firstRowFirstColumn="0" w:firstRowLastColumn="0" w:lastRowFirstColumn="0" w:lastRowLastColumn="0"/>
          <w:trHeight w:val="755"/>
        </w:trPr>
        <w:tc>
          <w:tcPr>
            <w:tcW w:w="1980" w:type="dxa"/>
            <w:vAlign w:val="top"/>
          </w:tcPr>
          <w:p w14:paraId="26FA6503" w14:textId="403CC3D5" w:rsidR="00DF1AFB" w:rsidRPr="00FA1A5F" w:rsidRDefault="00DF1AFB" w:rsidP="00DF1AFB">
            <w:pPr>
              <w:spacing w:after="0" w:line="240" w:lineRule="auto"/>
              <w:rPr>
                <w:rFonts w:cs="Arial"/>
                <w:i/>
                <w:iCs/>
              </w:rPr>
            </w:pPr>
            <w:r w:rsidRPr="00FA1A5F">
              <w:rPr>
                <w:rFonts w:cs="Arial"/>
                <w:i/>
                <w:iCs/>
              </w:rPr>
              <w:t xml:space="preserve">SIG participant updates on upcoming: evaluation conferences, </w:t>
            </w:r>
            <w:proofErr w:type="spellStart"/>
            <w:r w:rsidRPr="00FA1A5F">
              <w:rPr>
                <w:rFonts w:cs="Arial"/>
                <w:i/>
                <w:iCs/>
              </w:rPr>
              <w:t>listservs</w:t>
            </w:r>
            <w:proofErr w:type="spellEnd"/>
            <w:r w:rsidRPr="00FA1A5F">
              <w:rPr>
                <w:rFonts w:cs="Arial"/>
                <w:i/>
                <w:iCs/>
              </w:rPr>
              <w:t>, events, presentations, webinars, etc.</w:t>
            </w:r>
          </w:p>
        </w:tc>
        <w:tc>
          <w:tcPr>
            <w:tcW w:w="1530" w:type="dxa"/>
            <w:vAlign w:val="top"/>
          </w:tcPr>
          <w:p w14:paraId="6F01EF17" w14:textId="330408DD" w:rsidR="00DF1AFB" w:rsidRPr="00FA1A5F" w:rsidRDefault="00DF1AFB" w:rsidP="00DF1AFB">
            <w:pPr>
              <w:spacing w:after="0" w:line="240" w:lineRule="auto"/>
              <w:rPr>
                <w:rFonts w:cs="Arial"/>
                <w:i/>
                <w:iCs/>
              </w:rPr>
            </w:pPr>
            <w:r w:rsidRPr="00FA1A5F">
              <w:rPr>
                <w:rFonts w:cs="Arial"/>
                <w:i/>
                <w:iCs/>
              </w:rPr>
              <w:t xml:space="preserve">Group </w:t>
            </w:r>
          </w:p>
        </w:tc>
        <w:tc>
          <w:tcPr>
            <w:tcW w:w="5670" w:type="dxa"/>
            <w:vAlign w:val="top"/>
          </w:tcPr>
          <w:p w14:paraId="2AE79606" w14:textId="1453AB9C" w:rsidR="00DF1AFB" w:rsidRDefault="00DF1AFB" w:rsidP="00DF1AFB">
            <w:pPr>
              <w:spacing w:after="0" w:line="240" w:lineRule="auto"/>
              <w:rPr>
                <w:rFonts w:cs="Arial"/>
                <w:iCs/>
              </w:rPr>
            </w:pPr>
            <w:r>
              <w:rPr>
                <w:rFonts w:cs="Arial"/>
                <w:iCs/>
              </w:rPr>
              <w:t>Updates:</w:t>
            </w:r>
          </w:p>
          <w:p w14:paraId="38C250DE" w14:textId="77777777" w:rsidR="00DF1AFB" w:rsidRDefault="00DF1AFB" w:rsidP="00DF1AFB">
            <w:pPr>
              <w:pStyle w:val="ListParagraph"/>
              <w:numPr>
                <w:ilvl w:val="0"/>
                <w:numId w:val="6"/>
              </w:numPr>
              <w:spacing w:after="0" w:line="240" w:lineRule="auto"/>
              <w:rPr>
                <w:rFonts w:cs="Arial"/>
                <w:iCs/>
              </w:rPr>
            </w:pPr>
            <w:r w:rsidRPr="00E03ABE">
              <w:rPr>
                <w:rFonts w:cs="Arial"/>
                <w:iCs/>
              </w:rPr>
              <w:t>The Northwest MHTTC submitted a presentation and poster for the AEA Conference. The deadline was extended to March 30</w:t>
            </w:r>
            <w:r w:rsidRPr="00E03ABE">
              <w:rPr>
                <w:rFonts w:cs="Arial"/>
                <w:iCs/>
                <w:vertAlign w:val="superscript"/>
              </w:rPr>
              <w:t>th</w:t>
            </w:r>
            <w:r w:rsidRPr="00E03ABE">
              <w:rPr>
                <w:rFonts w:cs="Arial"/>
                <w:iCs/>
              </w:rPr>
              <w:t xml:space="preserve">. The AEA Conference will be in Portland. </w:t>
            </w:r>
          </w:p>
          <w:p w14:paraId="46D5E37D" w14:textId="5DB9B785" w:rsidR="00DF1AFB" w:rsidRPr="00E03ABE" w:rsidRDefault="00DF1AFB" w:rsidP="00DF1AFB">
            <w:pPr>
              <w:pStyle w:val="ListParagraph"/>
              <w:numPr>
                <w:ilvl w:val="0"/>
                <w:numId w:val="6"/>
              </w:numPr>
              <w:spacing w:after="0" w:line="240" w:lineRule="auto"/>
              <w:rPr>
                <w:rFonts w:cs="Arial"/>
                <w:iCs/>
              </w:rPr>
            </w:pPr>
            <w:r w:rsidRPr="00E03ABE">
              <w:rPr>
                <w:rFonts w:cs="Arial"/>
                <w:iCs/>
              </w:rPr>
              <w:t>The Northeast PTTC submitted an abstract for the NPN Conference, which will be in Birmingham.</w:t>
            </w:r>
          </w:p>
        </w:tc>
      </w:tr>
      <w:tr w:rsidR="00DF1AFB" w:rsidRPr="00FA1A5F" w14:paraId="03F275DB" w14:textId="340E3B73" w:rsidTr="00DF1AFB">
        <w:trPr>
          <w:cnfStyle w:val="000000010000" w:firstRow="0" w:lastRow="0" w:firstColumn="0" w:lastColumn="0" w:oddVBand="0" w:evenVBand="0" w:oddHBand="0" w:evenHBand="1" w:firstRowFirstColumn="0" w:firstRowLastColumn="0" w:lastRowFirstColumn="0" w:lastRowLastColumn="0"/>
          <w:trHeight w:val="755"/>
        </w:trPr>
        <w:tc>
          <w:tcPr>
            <w:tcW w:w="1980" w:type="dxa"/>
            <w:vAlign w:val="top"/>
          </w:tcPr>
          <w:p w14:paraId="43F0091C" w14:textId="77777777" w:rsidR="00DF1AFB" w:rsidRDefault="00DF1AFB" w:rsidP="00DF1AFB">
            <w:pPr>
              <w:spacing w:after="0" w:line="240" w:lineRule="auto"/>
              <w:rPr>
                <w:rFonts w:cs="Arial"/>
                <w:i/>
                <w:iCs/>
              </w:rPr>
            </w:pPr>
            <w:r w:rsidRPr="00FA1A5F">
              <w:rPr>
                <w:rFonts w:cs="Arial"/>
                <w:i/>
                <w:iCs/>
              </w:rPr>
              <w:t>Discussion of differences and similarities among evaluation requirements for MHTTCs, PTTCs, and ATTCs</w:t>
            </w:r>
          </w:p>
          <w:p w14:paraId="7278CCF0" w14:textId="16E4BDA1" w:rsidR="00DF1AFB" w:rsidRPr="00FA1A5F" w:rsidRDefault="00DF1AFB" w:rsidP="00DF1AFB">
            <w:pPr>
              <w:spacing w:after="0" w:line="240" w:lineRule="auto"/>
              <w:rPr>
                <w:rFonts w:cs="Arial"/>
                <w:i/>
                <w:iCs/>
              </w:rPr>
            </w:pPr>
          </w:p>
        </w:tc>
        <w:tc>
          <w:tcPr>
            <w:tcW w:w="1530" w:type="dxa"/>
            <w:vAlign w:val="top"/>
          </w:tcPr>
          <w:p w14:paraId="1F5B12F1" w14:textId="16B8CE83" w:rsidR="00DF1AFB" w:rsidRPr="00FA1A5F" w:rsidRDefault="00DF1AFB" w:rsidP="00DF1AFB">
            <w:pPr>
              <w:spacing w:after="0" w:line="240" w:lineRule="auto"/>
              <w:rPr>
                <w:rFonts w:cs="Arial"/>
                <w:i/>
                <w:iCs/>
              </w:rPr>
            </w:pPr>
            <w:r w:rsidRPr="00FA1A5F">
              <w:rPr>
                <w:rFonts w:cs="Arial"/>
                <w:i/>
                <w:iCs/>
              </w:rPr>
              <w:t>Heather</w:t>
            </w:r>
            <w:r>
              <w:t xml:space="preserve"> </w:t>
            </w:r>
            <w:r w:rsidRPr="000F5431">
              <w:rPr>
                <w:rFonts w:cs="Arial"/>
                <w:i/>
                <w:iCs/>
              </w:rPr>
              <w:t>Gotham</w:t>
            </w:r>
          </w:p>
        </w:tc>
        <w:tc>
          <w:tcPr>
            <w:tcW w:w="5670" w:type="dxa"/>
            <w:vAlign w:val="top"/>
          </w:tcPr>
          <w:p w14:paraId="0B9F5F7B" w14:textId="1B307486" w:rsidR="00DF1AFB" w:rsidRDefault="00DF1AFB" w:rsidP="00DF1AFB">
            <w:pPr>
              <w:spacing w:after="0" w:line="240" w:lineRule="auto"/>
              <w:rPr>
                <w:rFonts w:cs="Arial"/>
                <w:iCs/>
              </w:rPr>
            </w:pPr>
            <w:r>
              <w:rPr>
                <w:rFonts w:cs="Arial"/>
                <w:iCs/>
              </w:rPr>
              <w:t>Heather cross-walked</w:t>
            </w:r>
            <w:r w:rsidRPr="008578AF">
              <w:rPr>
                <w:rFonts w:cs="Arial"/>
                <w:iCs/>
              </w:rPr>
              <w:t xml:space="preserve"> the </w:t>
            </w:r>
            <w:r>
              <w:rPr>
                <w:rFonts w:cs="Arial"/>
                <w:iCs/>
              </w:rPr>
              <w:t>evaluation requirements across</w:t>
            </w:r>
            <w:r w:rsidRPr="008578AF">
              <w:rPr>
                <w:rFonts w:cs="Arial"/>
                <w:iCs/>
              </w:rPr>
              <w:t xml:space="preserve"> the </w:t>
            </w:r>
            <w:r>
              <w:rPr>
                <w:rFonts w:cs="Arial"/>
                <w:iCs/>
              </w:rPr>
              <w:t xml:space="preserve">different Networks’ </w:t>
            </w:r>
            <w:r w:rsidRPr="008578AF">
              <w:rPr>
                <w:rFonts w:cs="Arial"/>
                <w:iCs/>
              </w:rPr>
              <w:t xml:space="preserve">FOAs. </w:t>
            </w:r>
          </w:p>
          <w:p w14:paraId="1EFEDAC1" w14:textId="77777777" w:rsidR="00DF1AFB" w:rsidRDefault="00DF1AFB" w:rsidP="00DF1AFB">
            <w:pPr>
              <w:spacing w:after="0" w:line="240" w:lineRule="auto"/>
              <w:rPr>
                <w:rFonts w:cs="Arial"/>
                <w:iCs/>
              </w:rPr>
            </w:pPr>
          </w:p>
          <w:p w14:paraId="7FB228E0" w14:textId="08FE4DE4" w:rsidR="00DF1AFB" w:rsidRPr="008578AF" w:rsidRDefault="00DF1AFB" w:rsidP="00DF1AFB">
            <w:pPr>
              <w:spacing w:after="0" w:line="240" w:lineRule="auto"/>
              <w:rPr>
                <w:rFonts w:cs="Arial"/>
                <w:iCs/>
              </w:rPr>
            </w:pPr>
            <w:r>
              <w:rPr>
                <w:rFonts w:cs="Arial"/>
                <w:iCs/>
              </w:rPr>
              <w:t>Similarities:</w:t>
            </w:r>
          </w:p>
          <w:p w14:paraId="6571F35C" w14:textId="58C1ED7C" w:rsidR="00DF1AFB" w:rsidRDefault="00DF1AFB" w:rsidP="00DF1AFB">
            <w:pPr>
              <w:pStyle w:val="ListParagraph"/>
              <w:numPr>
                <w:ilvl w:val="0"/>
                <w:numId w:val="7"/>
              </w:numPr>
              <w:spacing w:after="0" w:line="240" w:lineRule="auto"/>
              <w:rPr>
                <w:rFonts w:cs="Arial"/>
                <w:iCs/>
              </w:rPr>
            </w:pPr>
            <w:r>
              <w:rPr>
                <w:rFonts w:cs="Arial"/>
                <w:iCs/>
              </w:rPr>
              <w:t>All TTCs</w:t>
            </w:r>
            <w:r w:rsidRPr="00097CB8">
              <w:rPr>
                <w:rFonts w:cs="Arial"/>
                <w:iCs/>
              </w:rPr>
              <w:t xml:space="preserve"> have to do GPRA</w:t>
            </w:r>
            <w:r>
              <w:rPr>
                <w:rFonts w:cs="Arial"/>
                <w:iCs/>
              </w:rPr>
              <w:t>.</w:t>
            </w:r>
          </w:p>
          <w:p w14:paraId="2613982E" w14:textId="22C0808C" w:rsidR="00DF1AFB" w:rsidRDefault="00DF1AFB" w:rsidP="00DF1AFB">
            <w:pPr>
              <w:pStyle w:val="ListParagraph"/>
              <w:numPr>
                <w:ilvl w:val="0"/>
                <w:numId w:val="7"/>
              </w:numPr>
              <w:spacing w:after="0" w:line="240" w:lineRule="auto"/>
              <w:rPr>
                <w:rFonts w:cs="Arial"/>
                <w:iCs/>
              </w:rPr>
            </w:pPr>
            <w:r>
              <w:rPr>
                <w:rFonts w:cs="Arial"/>
                <w:iCs/>
              </w:rPr>
              <w:t xml:space="preserve">The </w:t>
            </w:r>
            <w:r w:rsidRPr="00097CB8">
              <w:rPr>
                <w:rFonts w:cs="Arial"/>
                <w:iCs/>
              </w:rPr>
              <w:t xml:space="preserve">GPRA Online System developed by Eric Barr at </w:t>
            </w:r>
            <w:proofErr w:type="spellStart"/>
            <w:r w:rsidRPr="00097CB8">
              <w:rPr>
                <w:rFonts w:cs="Arial"/>
                <w:iCs/>
              </w:rPr>
              <w:t>Lanitek</w:t>
            </w:r>
            <w:proofErr w:type="spellEnd"/>
            <w:r w:rsidRPr="00097CB8">
              <w:rPr>
                <w:rFonts w:cs="Arial"/>
                <w:iCs/>
              </w:rPr>
              <w:t xml:space="preserve"> is available to all TTCs</w:t>
            </w:r>
            <w:r>
              <w:rPr>
                <w:rFonts w:cs="Arial"/>
                <w:iCs/>
              </w:rPr>
              <w:t>.</w:t>
            </w:r>
          </w:p>
          <w:p w14:paraId="3D4EBA3F" w14:textId="76319925" w:rsidR="00DF1AFB" w:rsidRDefault="00DF1AFB" w:rsidP="00DF1AFB">
            <w:pPr>
              <w:pStyle w:val="ListParagraph"/>
              <w:numPr>
                <w:ilvl w:val="0"/>
                <w:numId w:val="7"/>
              </w:numPr>
              <w:spacing w:after="0" w:line="240" w:lineRule="auto"/>
              <w:rPr>
                <w:rFonts w:cs="Arial"/>
                <w:iCs/>
              </w:rPr>
            </w:pPr>
            <w:r>
              <w:rPr>
                <w:rFonts w:cs="Arial"/>
                <w:iCs/>
              </w:rPr>
              <w:t xml:space="preserve">Each </w:t>
            </w:r>
            <w:proofErr w:type="spellStart"/>
            <w:r>
              <w:rPr>
                <w:rFonts w:cs="Arial"/>
                <w:iCs/>
              </w:rPr>
              <w:t>TTC</w:t>
            </w:r>
            <w:proofErr w:type="spellEnd"/>
            <w:r>
              <w:rPr>
                <w:rFonts w:cs="Arial"/>
                <w:iCs/>
              </w:rPr>
              <w:t xml:space="preserve"> is responsible for developing its</w:t>
            </w:r>
            <w:r w:rsidRPr="00097CB8">
              <w:rPr>
                <w:rFonts w:cs="Arial"/>
                <w:iCs/>
              </w:rPr>
              <w:t xml:space="preserve"> own local assessments. </w:t>
            </w:r>
          </w:p>
          <w:p w14:paraId="4AB93616" w14:textId="77777777" w:rsidR="00DF1AFB" w:rsidRDefault="00DF1AFB" w:rsidP="00DF1AFB">
            <w:pPr>
              <w:spacing w:after="0" w:line="240" w:lineRule="auto"/>
              <w:rPr>
                <w:rFonts w:cs="Arial"/>
                <w:iCs/>
              </w:rPr>
            </w:pPr>
          </w:p>
          <w:p w14:paraId="6713E1B2" w14:textId="321AD70F" w:rsidR="00DF1AFB" w:rsidRDefault="00DF1AFB" w:rsidP="00DF1AFB">
            <w:pPr>
              <w:spacing w:after="0" w:line="240" w:lineRule="auto"/>
              <w:rPr>
                <w:rFonts w:cs="Arial"/>
                <w:iCs/>
              </w:rPr>
            </w:pPr>
            <w:r>
              <w:rPr>
                <w:rFonts w:cs="Arial"/>
                <w:iCs/>
              </w:rPr>
              <w:t>D</w:t>
            </w:r>
            <w:r w:rsidRPr="009E71CD">
              <w:rPr>
                <w:rFonts w:cs="Arial"/>
                <w:iCs/>
              </w:rPr>
              <w:t xml:space="preserve">ifferences: </w:t>
            </w:r>
          </w:p>
          <w:p w14:paraId="4BA74B9F" w14:textId="77777777" w:rsidR="00DF1AFB" w:rsidRDefault="00DF1AFB" w:rsidP="00DF1AFB">
            <w:pPr>
              <w:pStyle w:val="ListParagraph"/>
              <w:numPr>
                <w:ilvl w:val="0"/>
                <w:numId w:val="8"/>
              </w:numPr>
              <w:spacing w:after="0" w:line="240" w:lineRule="auto"/>
              <w:rPr>
                <w:rFonts w:cs="Arial"/>
                <w:iCs/>
              </w:rPr>
            </w:pPr>
            <w:r w:rsidRPr="009E71CD">
              <w:rPr>
                <w:rFonts w:cs="Arial"/>
                <w:iCs/>
              </w:rPr>
              <w:t xml:space="preserve">Performance measures for </w:t>
            </w:r>
            <w:r>
              <w:rPr>
                <w:rFonts w:cs="Arial"/>
                <w:iCs/>
              </w:rPr>
              <w:t xml:space="preserve">the </w:t>
            </w:r>
            <w:r w:rsidRPr="009E71CD">
              <w:rPr>
                <w:rFonts w:cs="Arial"/>
                <w:iCs/>
              </w:rPr>
              <w:t xml:space="preserve">ATTC </w:t>
            </w:r>
            <w:r>
              <w:rPr>
                <w:rFonts w:cs="Arial"/>
                <w:iCs/>
              </w:rPr>
              <w:t xml:space="preserve">Network </w:t>
            </w:r>
            <w:r w:rsidRPr="009E71CD">
              <w:rPr>
                <w:rFonts w:cs="Arial"/>
                <w:iCs/>
              </w:rPr>
              <w:t xml:space="preserve">differ. ATTCs have to complete </w:t>
            </w:r>
            <w:r>
              <w:rPr>
                <w:rFonts w:cs="Arial"/>
                <w:iCs/>
              </w:rPr>
              <w:t xml:space="preserve">semi-annual reports and address </w:t>
            </w:r>
            <w:r w:rsidRPr="009E71CD">
              <w:rPr>
                <w:rFonts w:cs="Arial"/>
                <w:iCs/>
              </w:rPr>
              <w:t>outcome and process-related questions.</w:t>
            </w:r>
          </w:p>
          <w:p w14:paraId="3F96E47D" w14:textId="505A9469" w:rsidR="00DF1AFB" w:rsidRPr="009E71CD" w:rsidRDefault="00DF1AFB" w:rsidP="00DF1AFB">
            <w:pPr>
              <w:pStyle w:val="ListParagraph"/>
              <w:numPr>
                <w:ilvl w:val="0"/>
                <w:numId w:val="8"/>
              </w:numPr>
              <w:spacing w:after="0" w:line="240" w:lineRule="auto"/>
              <w:rPr>
                <w:rFonts w:cs="Arial"/>
                <w:iCs/>
              </w:rPr>
            </w:pPr>
            <w:r w:rsidRPr="009E71CD">
              <w:rPr>
                <w:rFonts w:cs="Arial"/>
                <w:iCs/>
              </w:rPr>
              <w:t xml:space="preserve">MHTTC and PTTC </w:t>
            </w:r>
            <w:r>
              <w:rPr>
                <w:rFonts w:cs="Arial"/>
                <w:iCs/>
              </w:rPr>
              <w:t xml:space="preserve">Networks complete annual reports and address questions </w:t>
            </w:r>
            <w:r w:rsidRPr="009E71CD">
              <w:rPr>
                <w:rFonts w:cs="Arial"/>
                <w:iCs/>
              </w:rPr>
              <w:t>not tied directly to GPRA</w:t>
            </w:r>
            <w:r>
              <w:rPr>
                <w:rFonts w:cs="Arial"/>
                <w:iCs/>
              </w:rPr>
              <w:t>.</w:t>
            </w:r>
            <w:r w:rsidRPr="009E71CD">
              <w:rPr>
                <w:rFonts w:cs="Arial"/>
                <w:iCs/>
              </w:rPr>
              <w:t xml:space="preserve"> </w:t>
            </w:r>
          </w:p>
          <w:p w14:paraId="08A92A5B" w14:textId="77777777" w:rsidR="00DF1AFB" w:rsidRDefault="00DF1AFB" w:rsidP="00DF1AFB">
            <w:pPr>
              <w:spacing w:after="0" w:line="240" w:lineRule="auto"/>
              <w:rPr>
                <w:rFonts w:cs="Arial"/>
                <w:iCs/>
              </w:rPr>
            </w:pPr>
          </w:p>
          <w:p w14:paraId="6351DE6A" w14:textId="3E5CC974" w:rsidR="00DF1AFB" w:rsidRDefault="00DF1AFB" w:rsidP="00DF1AFB">
            <w:pPr>
              <w:spacing w:after="0" w:line="240" w:lineRule="auto"/>
              <w:rPr>
                <w:rFonts w:cs="Arial"/>
                <w:iCs/>
              </w:rPr>
            </w:pPr>
            <w:r w:rsidRPr="008578AF">
              <w:rPr>
                <w:rFonts w:cs="Arial"/>
                <w:iCs/>
              </w:rPr>
              <w:t>Discussion</w:t>
            </w:r>
            <w:r>
              <w:rPr>
                <w:rFonts w:cs="Arial"/>
                <w:iCs/>
              </w:rPr>
              <w:t>:</w:t>
            </w:r>
          </w:p>
          <w:p w14:paraId="210B6E4A" w14:textId="71460BFE" w:rsidR="00DF1AFB" w:rsidRPr="00325A97" w:rsidRDefault="00DF1AFB" w:rsidP="00DF1AFB">
            <w:pPr>
              <w:pStyle w:val="ListParagraph"/>
              <w:numPr>
                <w:ilvl w:val="0"/>
                <w:numId w:val="9"/>
              </w:numPr>
              <w:spacing w:after="0" w:line="240" w:lineRule="auto"/>
              <w:rPr>
                <w:rFonts w:cs="Arial"/>
                <w:iCs/>
              </w:rPr>
            </w:pPr>
            <w:r w:rsidRPr="00325A97">
              <w:rPr>
                <w:rFonts w:cs="Arial"/>
                <w:iCs/>
              </w:rPr>
              <w:t xml:space="preserve">PTTCs </w:t>
            </w:r>
            <w:r>
              <w:rPr>
                <w:rFonts w:cs="Arial"/>
                <w:iCs/>
              </w:rPr>
              <w:t xml:space="preserve">shared how they </w:t>
            </w:r>
            <w:r w:rsidRPr="00325A97">
              <w:rPr>
                <w:rFonts w:cs="Arial"/>
                <w:iCs/>
              </w:rPr>
              <w:t>are capturing engagement with others through advisory committees.</w:t>
            </w:r>
          </w:p>
        </w:tc>
      </w:tr>
      <w:tr w:rsidR="00DF1AFB" w:rsidRPr="00FA1A5F" w14:paraId="50AC21A7" w14:textId="77777777" w:rsidTr="00DF1AFB">
        <w:trPr>
          <w:cnfStyle w:val="000000100000" w:firstRow="0" w:lastRow="0" w:firstColumn="0" w:lastColumn="0" w:oddVBand="0" w:evenVBand="0" w:oddHBand="1" w:evenHBand="0" w:firstRowFirstColumn="0" w:firstRowLastColumn="0" w:lastRowFirstColumn="0" w:lastRowLastColumn="0"/>
          <w:trHeight w:val="755"/>
        </w:trPr>
        <w:tc>
          <w:tcPr>
            <w:tcW w:w="1980" w:type="dxa"/>
            <w:vAlign w:val="top"/>
          </w:tcPr>
          <w:p w14:paraId="5B8808E1" w14:textId="77777777" w:rsidR="00DF1AFB" w:rsidRDefault="00DF1AFB" w:rsidP="00DF1AFB">
            <w:pPr>
              <w:spacing w:after="0" w:line="240" w:lineRule="auto"/>
              <w:rPr>
                <w:rFonts w:cs="Arial"/>
                <w:i/>
                <w:iCs/>
              </w:rPr>
            </w:pPr>
            <w:r w:rsidRPr="00443B5C">
              <w:rPr>
                <w:rFonts w:cs="Arial"/>
                <w:i/>
                <w:iCs/>
              </w:rPr>
              <w:t>Question for discussion: How should GPRA be divided for online courses that are created across TTC Networks?</w:t>
            </w:r>
          </w:p>
          <w:p w14:paraId="162403F4" w14:textId="1A94FCDD" w:rsidR="00DF1AFB" w:rsidRDefault="00DF1AFB" w:rsidP="00DF1AFB">
            <w:pPr>
              <w:spacing w:after="0" w:line="240" w:lineRule="auto"/>
              <w:rPr>
                <w:rStyle w:val="Hyperlink"/>
                <w:rFonts w:ascii="Helvetica" w:hAnsi="Helvetica" w:cs="Helvetica"/>
                <w:color w:val="6DAAE7"/>
                <w:sz w:val="21"/>
                <w:szCs w:val="21"/>
                <w:u w:val="none"/>
                <w:shd w:val="clear" w:color="auto" w:fill="FFFFFF"/>
              </w:rPr>
            </w:pPr>
            <w:r>
              <w:fldChar w:fldCharType="begin"/>
            </w:r>
            <w:r>
              <w:instrText xml:space="preserve"> HYPERLINK "https://www.whitepages.com/address/3801-NE-77th-St/Kansas%20City-MO/4fkGzleAP7EhmTWquSLxlJ" </w:instrText>
            </w:r>
            <w:r>
              <w:fldChar w:fldCharType="separate"/>
            </w:r>
          </w:p>
          <w:p w14:paraId="6CCC049A" w14:textId="66EF0BA6" w:rsidR="00DF1AFB" w:rsidRPr="00022860" w:rsidRDefault="00DF1AFB" w:rsidP="00DF1AFB">
            <w:pPr>
              <w:spacing w:after="0" w:line="240" w:lineRule="auto"/>
              <w:rPr>
                <w:rFonts w:ascii="Helvetica" w:hAnsi="Helvetica" w:cs="Helvetica"/>
                <w:color w:val="6DAAE7"/>
                <w:sz w:val="21"/>
                <w:szCs w:val="21"/>
                <w:shd w:val="clear" w:color="auto" w:fill="FFFFFF"/>
              </w:rPr>
            </w:pPr>
            <w:hyperlink r:id="rId10" w:history="1"/>
            <w:r>
              <w:fldChar w:fldCharType="end"/>
            </w:r>
          </w:p>
        </w:tc>
        <w:tc>
          <w:tcPr>
            <w:tcW w:w="1530" w:type="dxa"/>
            <w:vAlign w:val="top"/>
          </w:tcPr>
          <w:p w14:paraId="69D98BAB" w14:textId="45D8AB3C" w:rsidR="00DF1AFB" w:rsidRPr="00FA1A5F" w:rsidRDefault="00DF1AFB" w:rsidP="00DF1AFB">
            <w:pPr>
              <w:spacing w:after="0" w:line="240" w:lineRule="auto"/>
              <w:rPr>
                <w:rFonts w:cs="Arial"/>
                <w:i/>
                <w:iCs/>
              </w:rPr>
            </w:pPr>
            <w:r>
              <w:rPr>
                <w:rFonts w:cs="Arial"/>
                <w:i/>
                <w:iCs/>
              </w:rPr>
              <w:t>Heather</w:t>
            </w:r>
          </w:p>
        </w:tc>
        <w:tc>
          <w:tcPr>
            <w:tcW w:w="5670" w:type="dxa"/>
            <w:vAlign w:val="top"/>
          </w:tcPr>
          <w:p w14:paraId="50B97C32" w14:textId="0E98B516" w:rsidR="00DF1AFB" w:rsidRDefault="00DF1AFB" w:rsidP="00DF1AFB">
            <w:pPr>
              <w:spacing w:after="0" w:line="240" w:lineRule="auto"/>
              <w:rPr>
                <w:rFonts w:cs="Arial"/>
                <w:iCs/>
              </w:rPr>
            </w:pPr>
            <w:r>
              <w:rPr>
                <w:rFonts w:cs="Arial"/>
                <w:iCs/>
              </w:rPr>
              <w:t>Discussion about GPRA in the era of COVID:</w:t>
            </w:r>
          </w:p>
          <w:p w14:paraId="30A326EF" w14:textId="6EE1F837" w:rsidR="00DF1AFB" w:rsidRPr="008D0D75" w:rsidRDefault="00DF1AFB" w:rsidP="00DF1AFB">
            <w:pPr>
              <w:pStyle w:val="ListParagraph"/>
              <w:numPr>
                <w:ilvl w:val="0"/>
                <w:numId w:val="9"/>
              </w:numPr>
              <w:spacing w:after="0" w:line="240" w:lineRule="auto"/>
              <w:rPr>
                <w:rFonts w:cs="Arial"/>
                <w:iCs/>
              </w:rPr>
            </w:pPr>
            <w:r w:rsidRPr="008D0D75">
              <w:rPr>
                <w:rFonts w:cs="Arial"/>
                <w:iCs/>
              </w:rPr>
              <w:t xml:space="preserve">Heather announced that Humberto Carvalho, SAMHSA GPO for TTCs, shared that the TTCs are </w:t>
            </w:r>
            <w:r>
              <w:rPr>
                <w:rFonts w:cs="Arial"/>
                <w:iCs/>
              </w:rPr>
              <w:t xml:space="preserve">currently </w:t>
            </w:r>
            <w:r w:rsidRPr="008D0D75">
              <w:rPr>
                <w:rFonts w:cs="Arial"/>
                <w:iCs/>
              </w:rPr>
              <w:t>doing very well with their GPRA numbers.</w:t>
            </w:r>
          </w:p>
          <w:p w14:paraId="4FEC7ACC" w14:textId="5110570A" w:rsidR="00DF1AFB" w:rsidRPr="006813D7" w:rsidRDefault="00DF1AFB" w:rsidP="00DF1AFB">
            <w:pPr>
              <w:pStyle w:val="ListParagraph"/>
              <w:numPr>
                <w:ilvl w:val="0"/>
                <w:numId w:val="9"/>
              </w:numPr>
              <w:spacing w:after="0" w:line="240" w:lineRule="auto"/>
              <w:rPr>
                <w:rFonts w:cs="Arial"/>
                <w:iCs/>
              </w:rPr>
            </w:pPr>
            <w:r>
              <w:rPr>
                <w:rFonts w:cs="Arial"/>
                <w:iCs/>
              </w:rPr>
              <w:t xml:space="preserve">Discussion about </w:t>
            </w:r>
            <w:r w:rsidRPr="008D0D75">
              <w:rPr>
                <w:rFonts w:cs="Arial"/>
                <w:iCs/>
              </w:rPr>
              <w:t>track</w:t>
            </w:r>
            <w:r>
              <w:rPr>
                <w:rFonts w:cs="Arial"/>
                <w:iCs/>
              </w:rPr>
              <w:t>ing</w:t>
            </w:r>
            <w:r w:rsidRPr="008D0D75">
              <w:rPr>
                <w:rFonts w:cs="Arial"/>
                <w:iCs/>
              </w:rPr>
              <w:t xml:space="preserve"> impact of COVID</w:t>
            </w:r>
            <w:r>
              <w:rPr>
                <w:rFonts w:cs="Arial"/>
                <w:iCs/>
              </w:rPr>
              <w:t xml:space="preserve"> on Centers included</w:t>
            </w:r>
            <w:r w:rsidRPr="008D0D75">
              <w:rPr>
                <w:rFonts w:cs="Arial"/>
                <w:iCs/>
              </w:rPr>
              <w:t xml:space="preserve"> </w:t>
            </w:r>
            <w:r>
              <w:rPr>
                <w:rFonts w:cs="Arial"/>
                <w:iCs/>
              </w:rPr>
              <w:t>Holly Ireland sharing that the Central East ATTC</w:t>
            </w:r>
            <w:r w:rsidRPr="008D0D75">
              <w:rPr>
                <w:rFonts w:cs="Arial"/>
                <w:iCs/>
              </w:rPr>
              <w:t xml:space="preserve"> </w:t>
            </w:r>
            <w:r>
              <w:rPr>
                <w:rFonts w:cs="Arial"/>
                <w:iCs/>
              </w:rPr>
              <w:t xml:space="preserve">is tracking </w:t>
            </w:r>
            <w:r w:rsidRPr="008D0D75">
              <w:rPr>
                <w:rFonts w:cs="Arial"/>
                <w:iCs/>
              </w:rPr>
              <w:t xml:space="preserve">if </w:t>
            </w:r>
            <w:r>
              <w:rPr>
                <w:rFonts w:cs="Arial"/>
                <w:iCs/>
              </w:rPr>
              <w:t xml:space="preserve">trainings are </w:t>
            </w:r>
            <w:r w:rsidRPr="008D0D75">
              <w:rPr>
                <w:rFonts w:cs="Arial"/>
                <w:iCs/>
              </w:rPr>
              <w:t xml:space="preserve">cancelled, rescheduled for later </w:t>
            </w:r>
            <w:r>
              <w:rPr>
                <w:rFonts w:cs="Arial"/>
                <w:iCs/>
              </w:rPr>
              <w:t xml:space="preserve">in person, or transitioned from an in-person to a virtual format. The </w:t>
            </w:r>
            <w:r w:rsidR="00BB1B54">
              <w:rPr>
                <w:rFonts w:cs="Arial"/>
                <w:iCs/>
              </w:rPr>
              <w:t>New England</w:t>
            </w:r>
            <w:r>
              <w:rPr>
                <w:rFonts w:cs="Arial"/>
                <w:iCs/>
              </w:rPr>
              <w:t xml:space="preserve"> </w:t>
            </w:r>
            <w:proofErr w:type="spellStart"/>
            <w:r>
              <w:rPr>
                <w:rFonts w:cs="Arial"/>
                <w:iCs/>
              </w:rPr>
              <w:t>PTTC</w:t>
            </w:r>
            <w:proofErr w:type="spellEnd"/>
            <w:r>
              <w:rPr>
                <w:rFonts w:cs="Arial"/>
                <w:iCs/>
              </w:rPr>
              <w:t xml:space="preserve"> shared that they sent </w:t>
            </w:r>
            <w:r w:rsidRPr="008D0D75">
              <w:rPr>
                <w:rFonts w:cs="Arial"/>
                <w:iCs/>
              </w:rPr>
              <w:t xml:space="preserve">out a </w:t>
            </w:r>
            <w:r>
              <w:rPr>
                <w:rFonts w:cs="Arial"/>
                <w:iCs/>
              </w:rPr>
              <w:t xml:space="preserve">short survey to </w:t>
            </w:r>
            <w:r w:rsidRPr="008D0D75">
              <w:rPr>
                <w:rFonts w:cs="Arial"/>
                <w:iCs/>
              </w:rPr>
              <w:t>their region</w:t>
            </w:r>
            <w:r>
              <w:rPr>
                <w:rFonts w:cs="Arial"/>
                <w:iCs/>
              </w:rPr>
              <w:t>al stakeholders</w:t>
            </w:r>
            <w:r w:rsidRPr="008D0D75">
              <w:rPr>
                <w:rFonts w:cs="Arial"/>
                <w:iCs/>
              </w:rPr>
              <w:t xml:space="preserve"> </w:t>
            </w:r>
            <w:r>
              <w:rPr>
                <w:rFonts w:cs="Arial"/>
                <w:iCs/>
              </w:rPr>
              <w:t>inquiring about</w:t>
            </w:r>
            <w:r w:rsidRPr="008D0D75">
              <w:rPr>
                <w:rFonts w:cs="Arial"/>
                <w:iCs/>
              </w:rPr>
              <w:t xml:space="preserve"> org</w:t>
            </w:r>
            <w:r>
              <w:rPr>
                <w:rFonts w:cs="Arial"/>
                <w:iCs/>
              </w:rPr>
              <w:t>anizational</w:t>
            </w:r>
            <w:r w:rsidRPr="008D0D75">
              <w:rPr>
                <w:rFonts w:cs="Arial"/>
                <w:iCs/>
              </w:rPr>
              <w:t xml:space="preserve"> challenges, interest</w:t>
            </w:r>
            <w:r>
              <w:rPr>
                <w:rFonts w:cs="Arial"/>
                <w:iCs/>
              </w:rPr>
              <w:t>s</w:t>
            </w:r>
            <w:r w:rsidRPr="008D0D75">
              <w:rPr>
                <w:rFonts w:cs="Arial"/>
                <w:iCs/>
              </w:rPr>
              <w:t xml:space="preserve"> in virtual events </w:t>
            </w:r>
            <w:r w:rsidRPr="008D0D75">
              <w:rPr>
                <w:rFonts w:cs="Arial"/>
                <w:iCs/>
              </w:rPr>
              <w:lastRenderedPageBreak/>
              <w:t xml:space="preserve">and </w:t>
            </w:r>
            <w:r>
              <w:rPr>
                <w:rFonts w:cs="Arial"/>
                <w:iCs/>
              </w:rPr>
              <w:t xml:space="preserve">suggested </w:t>
            </w:r>
            <w:r w:rsidRPr="008D0D75">
              <w:rPr>
                <w:rFonts w:cs="Arial"/>
                <w:iCs/>
              </w:rPr>
              <w:t>topics</w:t>
            </w:r>
            <w:r>
              <w:rPr>
                <w:rFonts w:cs="Arial"/>
                <w:iCs/>
              </w:rPr>
              <w:t xml:space="preserve"> during the pandemic</w:t>
            </w:r>
            <w:r w:rsidRPr="008D0D75">
              <w:rPr>
                <w:rFonts w:cs="Arial"/>
                <w:iCs/>
              </w:rPr>
              <w:t xml:space="preserve">. </w:t>
            </w:r>
            <w:r>
              <w:rPr>
                <w:rFonts w:cs="Arial"/>
                <w:iCs/>
              </w:rPr>
              <w:t>They</w:t>
            </w:r>
            <w:r w:rsidRPr="008D0D75">
              <w:rPr>
                <w:rFonts w:cs="Arial"/>
                <w:iCs/>
              </w:rPr>
              <w:t xml:space="preserve"> received over 100 responses in less than</w:t>
            </w:r>
            <w:r>
              <w:rPr>
                <w:rFonts w:cs="Arial"/>
                <w:iCs/>
              </w:rPr>
              <w:t xml:space="preserve"> one week with initial results showing that m</w:t>
            </w:r>
            <w:r w:rsidRPr="008D0D75">
              <w:rPr>
                <w:rFonts w:cs="Arial"/>
                <w:iCs/>
              </w:rPr>
              <w:t>ain challenge</w:t>
            </w:r>
            <w:r>
              <w:rPr>
                <w:rFonts w:cs="Arial"/>
                <w:iCs/>
              </w:rPr>
              <w:t>s</w:t>
            </w:r>
            <w:r w:rsidRPr="008D0D75">
              <w:rPr>
                <w:rFonts w:cs="Arial"/>
                <w:iCs/>
              </w:rPr>
              <w:t xml:space="preserve"> </w:t>
            </w:r>
            <w:r>
              <w:rPr>
                <w:rFonts w:cs="Arial"/>
                <w:iCs/>
              </w:rPr>
              <w:t>include</w:t>
            </w:r>
            <w:r w:rsidRPr="008D0D75">
              <w:rPr>
                <w:rFonts w:cs="Arial"/>
                <w:iCs/>
              </w:rPr>
              <w:t xml:space="preserve"> stakeholder engagement and transitioning to virtual</w:t>
            </w:r>
            <w:r>
              <w:rPr>
                <w:rFonts w:cs="Arial"/>
                <w:iCs/>
              </w:rPr>
              <w:t xml:space="preserve"> platforms</w:t>
            </w:r>
            <w:r w:rsidR="00BB1B54">
              <w:rPr>
                <w:rFonts w:cs="Arial"/>
                <w:iCs/>
              </w:rPr>
              <w:t xml:space="preserve"> in rural areas (see shared document)</w:t>
            </w:r>
            <w:r>
              <w:rPr>
                <w:rFonts w:cs="Arial"/>
                <w:iCs/>
              </w:rPr>
              <w:t>.</w:t>
            </w:r>
            <w:r w:rsidRPr="008D0D75">
              <w:rPr>
                <w:rFonts w:cs="Arial"/>
                <w:iCs/>
              </w:rPr>
              <w:t xml:space="preserve"> </w:t>
            </w:r>
            <w:r w:rsidRPr="006813D7">
              <w:rPr>
                <w:rFonts w:cs="Arial"/>
                <w:iCs/>
              </w:rPr>
              <w:t>Aaron Levitt</w:t>
            </w:r>
            <w:r>
              <w:rPr>
                <w:rFonts w:cs="Arial"/>
                <w:iCs/>
              </w:rPr>
              <w:t xml:space="preserve"> shared that </w:t>
            </w:r>
            <w:r w:rsidR="00BB1B54">
              <w:rPr>
                <w:rFonts w:cs="Arial"/>
                <w:iCs/>
              </w:rPr>
              <w:t>they were asked by states to conduct</w:t>
            </w:r>
            <w:r>
              <w:rPr>
                <w:rFonts w:cs="Arial"/>
                <w:iCs/>
              </w:rPr>
              <w:t xml:space="preserve"> a </w:t>
            </w:r>
            <w:r w:rsidRPr="006813D7">
              <w:rPr>
                <w:rFonts w:cs="Arial"/>
                <w:iCs/>
              </w:rPr>
              <w:t>survey about how organization</w:t>
            </w:r>
            <w:r>
              <w:rPr>
                <w:rFonts w:cs="Arial"/>
                <w:iCs/>
              </w:rPr>
              <w:t>s are adapting in these times</w:t>
            </w:r>
            <w:r w:rsidR="00BB1B54">
              <w:rPr>
                <w:rFonts w:cs="Arial"/>
                <w:iCs/>
              </w:rPr>
              <w:t xml:space="preserve"> </w:t>
            </w:r>
            <w:r w:rsidR="00BB1B54">
              <w:rPr>
                <w:rFonts w:cs="Arial"/>
                <w:iCs/>
              </w:rPr>
              <w:t>(see shared document</w:t>
            </w:r>
            <w:r w:rsidR="00BB1B54">
              <w:rPr>
                <w:rFonts w:cs="Arial"/>
                <w:iCs/>
              </w:rPr>
              <w:t xml:space="preserve"> from New Jersey</w:t>
            </w:r>
            <w:r w:rsidR="00BB1B54">
              <w:rPr>
                <w:rFonts w:cs="Arial"/>
                <w:iCs/>
              </w:rPr>
              <w:t>).</w:t>
            </w:r>
            <w:r w:rsidR="00BB1B54" w:rsidRPr="008D0D75">
              <w:rPr>
                <w:rFonts w:cs="Arial"/>
                <w:iCs/>
              </w:rPr>
              <w:t xml:space="preserve"> </w:t>
            </w:r>
            <w:r w:rsidRPr="006813D7">
              <w:rPr>
                <w:rFonts w:cs="Arial"/>
                <w:iCs/>
              </w:rPr>
              <w:t>Sha</w:t>
            </w:r>
            <w:r>
              <w:rPr>
                <w:rFonts w:cs="Arial"/>
                <w:iCs/>
              </w:rPr>
              <w:t>wnda S</w:t>
            </w:r>
            <w:r w:rsidR="00BB1B54">
              <w:rPr>
                <w:rFonts w:cs="Arial"/>
                <w:iCs/>
              </w:rPr>
              <w:t>c</w:t>
            </w:r>
            <w:r>
              <w:rPr>
                <w:rFonts w:cs="Arial"/>
                <w:iCs/>
              </w:rPr>
              <w:t>hroeder pointed out</w:t>
            </w:r>
            <w:r w:rsidRPr="006813D7">
              <w:rPr>
                <w:rFonts w:cs="Arial"/>
                <w:iCs/>
              </w:rPr>
              <w:t xml:space="preserve"> </w:t>
            </w:r>
            <w:r>
              <w:rPr>
                <w:rFonts w:cs="Arial"/>
                <w:iCs/>
              </w:rPr>
              <w:t xml:space="preserve">that </w:t>
            </w:r>
            <w:r w:rsidRPr="006813D7">
              <w:rPr>
                <w:rFonts w:cs="Arial"/>
                <w:iCs/>
              </w:rPr>
              <w:t>surveying people, especially direct ser</w:t>
            </w:r>
            <w:r>
              <w:rPr>
                <w:rFonts w:cs="Arial"/>
                <w:iCs/>
              </w:rPr>
              <w:t>vice providers, during the pandemic</w:t>
            </w:r>
            <w:r w:rsidRPr="006813D7">
              <w:rPr>
                <w:rFonts w:cs="Arial"/>
                <w:iCs/>
              </w:rPr>
              <w:t xml:space="preserve"> </w:t>
            </w:r>
            <w:r>
              <w:rPr>
                <w:rFonts w:cs="Arial"/>
                <w:iCs/>
              </w:rPr>
              <w:t>can present challenges</w:t>
            </w:r>
            <w:r w:rsidRPr="006813D7">
              <w:rPr>
                <w:rFonts w:cs="Arial"/>
                <w:iCs/>
              </w:rPr>
              <w:t xml:space="preserve"> </w:t>
            </w:r>
            <w:r>
              <w:rPr>
                <w:rFonts w:cs="Arial"/>
                <w:iCs/>
              </w:rPr>
              <w:t>as providers are busy addressing changes themselves</w:t>
            </w:r>
            <w:r w:rsidRPr="006813D7">
              <w:rPr>
                <w:rFonts w:cs="Arial"/>
                <w:iCs/>
              </w:rPr>
              <w:t xml:space="preserve">. </w:t>
            </w:r>
            <w:r>
              <w:rPr>
                <w:rFonts w:cs="Arial"/>
                <w:iCs/>
              </w:rPr>
              <w:t>The Southeast</w:t>
            </w:r>
            <w:r w:rsidRPr="006813D7">
              <w:rPr>
                <w:rFonts w:cs="Arial"/>
                <w:iCs/>
              </w:rPr>
              <w:t xml:space="preserve"> MHTTC is</w:t>
            </w:r>
            <w:r>
              <w:rPr>
                <w:rFonts w:cs="Arial"/>
                <w:iCs/>
              </w:rPr>
              <w:t xml:space="preserve"> conducting</w:t>
            </w:r>
            <w:r w:rsidRPr="006813D7">
              <w:rPr>
                <w:rFonts w:cs="Arial"/>
                <w:iCs/>
              </w:rPr>
              <w:t xml:space="preserve"> a survey for state mental health agencies </w:t>
            </w:r>
            <w:r>
              <w:rPr>
                <w:rFonts w:cs="Arial"/>
                <w:iCs/>
              </w:rPr>
              <w:t>in response</w:t>
            </w:r>
            <w:r w:rsidRPr="006813D7">
              <w:rPr>
                <w:rFonts w:cs="Arial"/>
                <w:iCs/>
              </w:rPr>
              <w:t xml:space="preserve"> </w:t>
            </w:r>
            <w:r w:rsidR="00BB1B54">
              <w:rPr>
                <w:rFonts w:cs="Arial"/>
                <w:iCs/>
              </w:rPr>
              <w:t xml:space="preserve">to a </w:t>
            </w:r>
            <w:r w:rsidRPr="006813D7">
              <w:rPr>
                <w:rFonts w:cs="Arial"/>
                <w:iCs/>
              </w:rPr>
              <w:t xml:space="preserve">request to help them connect across states. </w:t>
            </w:r>
          </w:p>
          <w:p w14:paraId="504B50B4" w14:textId="77777777" w:rsidR="007D0306" w:rsidRDefault="007D0306" w:rsidP="00DF1AFB">
            <w:pPr>
              <w:spacing w:after="0" w:line="240" w:lineRule="auto"/>
              <w:rPr>
                <w:rFonts w:cs="Arial"/>
                <w:iCs/>
              </w:rPr>
            </w:pPr>
          </w:p>
          <w:p w14:paraId="3E2FCD4F" w14:textId="5C15EDA9" w:rsidR="00DF1AFB" w:rsidRPr="008578AF" w:rsidRDefault="00DF1AFB" w:rsidP="00DF1AFB">
            <w:pPr>
              <w:spacing w:after="0" w:line="240" w:lineRule="auto"/>
              <w:rPr>
                <w:rFonts w:cs="Arial"/>
                <w:iCs/>
              </w:rPr>
            </w:pPr>
            <w:r w:rsidRPr="008578AF">
              <w:rPr>
                <w:rFonts w:cs="Arial"/>
                <w:iCs/>
              </w:rPr>
              <w:t>D</w:t>
            </w:r>
            <w:r>
              <w:rPr>
                <w:rFonts w:cs="Arial"/>
                <w:iCs/>
              </w:rPr>
              <w:t>iscussion about dividing GPRA for online courses made across TTC Networks:</w:t>
            </w:r>
          </w:p>
          <w:p w14:paraId="1C71B151" w14:textId="2A3740B9" w:rsidR="00DF1AFB" w:rsidRPr="00874F3F" w:rsidRDefault="00DF1AFB" w:rsidP="00DF1AFB">
            <w:pPr>
              <w:pStyle w:val="ListParagraph"/>
              <w:numPr>
                <w:ilvl w:val="0"/>
                <w:numId w:val="10"/>
              </w:numPr>
              <w:spacing w:after="0" w:line="240" w:lineRule="auto"/>
              <w:rPr>
                <w:rFonts w:cs="Arial"/>
              </w:rPr>
            </w:pPr>
            <w:r>
              <w:rPr>
                <w:rFonts w:cs="Arial"/>
              </w:rPr>
              <w:t xml:space="preserve">Can there be two options if Centers have done equal amount of work: divide by zip code and </w:t>
            </w:r>
            <w:r w:rsidRPr="00FE32B4">
              <w:rPr>
                <w:rFonts w:cs="Arial"/>
              </w:rPr>
              <w:t>spli</w:t>
            </w:r>
            <w:r>
              <w:rPr>
                <w:rFonts w:cs="Arial"/>
              </w:rPr>
              <w:t>t evenly between the number of C</w:t>
            </w:r>
            <w:r w:rsidRPr="00FE32B4">
              <w:rPr>
                <w:rFonts w:cs="Arial"/>
              </w:rPr>
              <w:t>enters involved</w:t>
            </w:r>
            <w:r>
              <w:rPr>
                <w:rFonts w:cs="Arial"/>
              </w:rPr>
              <w:t>?</w:t>
            </w:r>
            <w:r w:rsidRPr="00FE32B4">
              <w:rPr>
                <w:rFonts w:cs="Arial"/>
              </w:rPr>
              <w:t xml:space="preserve"> </w:t>
            </w:r>
          </w:p>
        </w:tc>
      </w:tr>
      <w:tr w:rsidR="00DF1AFB" w:rsidRPr="00FA1A5F" w14:paraId="666E295C" w14:textId="77777777" w:rsidTr="00DF1AFB">
        <w:trPr>
          <w:cnfStyle w:val="000000010000" w:firstRow="0" w:lastRow="0" w:firstColumn="0" w:lastColumn="0" w:oddVBand="0" w:evenVBand="0" w:oddHBand="0" w:evenHBand="1" w:firstRowFirstColumn="0" w:firstRowLastColumn="0" w:lastRowFirstColumn="0" w:lastRowLastColumn="0"/>
          <w:trHeight w:val="593"/>
        </w:trPr>
        <w:tc>
          <w:tcPr>
            <w:tcW w:w="1980" w:type="dxa"/>
            <w:vAlign w:val="top"/>
          </w:tcPr>
          <w:p w14:paraId="5AE7EAC7" w14:textId="38AE482B" w:rsidR="00DF1AFB" w:rsidRPr="00443B5C" w:rsidRDefault="00DF1AFB" w:rsidP="00DF1AFB">
            <w:pPr>
              <w:spacing w:after="0" w:line="240" w:lineRule="auto"/>
              <w:rPr>
                <w:rFonts w:cs="Arial"/>
                <w:i/>
                <w:iCs/>
              </w:rPr>
            </w:pPr>
            <w:proofErr w:type="spellStart"/>
            <w:r w:rsidRPr="00FA1A5F">
              <w:rPr>
                <w:rFonts w:cs="Arial"/>
                <w:i/>
                <w:iCs/>
              </w:rPr>
              <w:lastRenderedPageBreak/>
              <w:t>TTC</w:t>
            </w:r>
            <w:proofErr w:type="spellEnd"/>
            <w:r w:rsidRPr="00FA1A5F">
              <w:rPr>
                <w:rFonts w:cs="Arial"/>
                <w:i/>
                <w:iCs/>
              </w:rPr>
              <w:t xml:space="preserve"> </w:t>
            </w:r>
            <w:r>
              <w:rPr>
                <w:rFonts w:cs="Arial"/>
                <w:i/>
                <w:iCs/>
              </w:rPr>
              <w:t>SIG Charter</w:t>
            </w:r>
          </w:p>
        </w:tc>
        <w:tc>
          <w:tcPr>
            <w:tcW w:w="1530" w:type="dxa"/>
            <w:vAlign w:val="top"/>
          </w:tcPr>
          <w:p w14:paraId="0E26B0C2" w14:textId="5035BF23" w:rsidR="00DF1AFB" w:rsidRDefault="00DF1AFB" w:rsidP="00DF1AFB">
            <w:pPr>
              <w:spacing w:after="0" w:line="240" w:lineRule="auto"/>
              <w:rPr>
                <w:rFonts w:cs="Arial"/>
                <w:i/>
                <w:iCs/>
              </w:rPr>
            </w:pPr>
            <w:r>
              <w:rPr>
                <w:rFonts w:cs="Arial"/>
                <w:i/>
                <w:iCs/>
              </w:rPr>
              <w:t>Megan</w:t>
            </w:r>
          </w:p>
        </w:tc>
        <w:tc>
          <w:tcPr>
            <w:tcW w:w="5670" w:type="dxa"/>
            <w:vAlign w:val="top"/>
          </w:tcPr>
          <w:p w14:paraId="29C0D9BE" w14:textId="44523D43" w:rsidR="00DF1AFB" w:rsidRPr="008578AF" w:rsidRDefault="00DF1AFB" w:rsidP="00DF1AFB">
            <w:pPr>
              <w:spacing w:after="0" w:line="240" w:lineRule="auto"/>
              <w:rPr>
                <w:rFonts w:cs="Arial"/>
                <w:iCs/>
              </w:rPr>
            </w:pPr>
            <w:r w:rsidRPr="008578AF">
              <w:rPr>
                <w:rFonts w:cs="Arial"/>
                <w:iCs/>
              </w:rPr>
              <w:t xml:space="preserve">Tabled due to limited time. </w:t>
            </w:r>
          </w:p>
        </w:tc>
      </w:tr>
      <w:tr w:rsidR="00DF1AFB" w:rsidRPr="00FA1A5F" w14:paraId="45C3BB41" w14:textId="77777777" w:rsidTr="00DF1AFB">
        <w:trPr>
          <w:cnfStyle w:val="000000100000" w:firstRow="0" w:lastRow="0" w:firstColumn="0" w:lastColumn="0" w:oddVBand="0" w:evenVBand="0" w:oddHBand="1" w:evenHBand="0" w:firstRowFirstColumn="0" w:firstRowLastColumn="0" w:lastRowFirstColumn="0" w:lastRowLastColumn="0"/>
          <w:trHeight w:val="755"/>
        </w:trPr>
        <w:tc>
          <w:tcPr>
            <w:tcW w:w="1980" w:type="dxa"/>
            <w:vAlign w:val="top"/>
          </w:tcPr>
          <w:p w14:paraId="29788065" w14:textId="77777777" w:rsidR="00DF1AFB" w:rsidRDefault="00DF1AFB" w:rsidP="00DF1AFB">
            <w:pPr>
              <w:spacing w:after="0" w:line="240" w:lineRule="auto"/>
              <w:rPr>
                <w:rFonts w:cs="Arial"/>
                <w:i/>
                <w:iCs/>
              </w:rPr>
            </w:pPr>
            <w:r w:rsidRPr="00FA1A5F">
              <w:rPr>
                <w:rFonts w:cs="Arial"/>
                <w:b/>
                <w:bCs/>
                <w:i/>
                <w:iCs/>
              </w:rPr>
              <w:t>Spotlight</w:t>
            </w:r>
            <w:r w:rsidRPr="00FA1A5F">
              <w:rPr>
                <w:rFonts w:cs="Arial"/>
                <w:i/>
                <w:iCs/>
              </w:rPr>
              <w:t xml:space="preserve"> on NW MHTTC tools and evaluation</w:t>
            </w:r>
          </w:p>
          <w:p w14:paraId="1D64E39F" w14:textId="39DA99D4" w:rsidR="00DF1AFB" w:rsidRPr="00FA1A5F" w:rsidRDefault="00DF1AFB" w:rsidP="00DF1AFB">
            <w:pPr>
              <w:spacing w:after="0" w:line="240" w:lineRule="auto"/>
              <w:rPr>
                <w:rFonts w:cs="Arial"/>
                <w:i/>
                <w:iCs/>
              </w:rPr>
            </w:pPr>
          </w:p>
        </w:tc>
        <w:tc>
          <w:tcPr>
            <w:tcW w:w="1530" w:type="dxa"/>
            <w:vAlign w:val="top"/>
          </w:tcPr>
          <w:p w14:paraId="5464A904" w14:textId="77777777" w:rsidR="00DF1AFB" w:rsidRPr="00FA1A5F" w:rsidRDefault="00DF1AFB" w:rsidP="00DF1AFB">
            <w:pPr>
              <w:spacing w:after="0" w:line="240" w:lineRule="auto"/>
              <w:rPr>
                <w:rFonts w:cs="Arial"/>
                <w:i/>
                <w:iCs/>
              </w:rPr>
            </w:pPr>
            <w:r w:rsidRPr="00FA1A5F">
              <w:rPr>
                <w:rFonts w:cs="Arial"/>
                <w:i/>
                <w:iCs/>
              </w:rPr>
              <w:t xml:space="preserve">Jonathan Olson and team </w:t>
            </w:r>
          </w:p>
          <w:p w14:paraId="427D1025" w14:textId="05E3AA77" w:rsidR="00DF1AFB" w:rsidRPr="00FA1A5F" w:rsidRDefault="00DF1AFB" w:rsidP="00DF1AFB">
            <w:pPr>
              <w:spacing w:after="0" w:line="240" w:lineRule="auto"/>
              <w:rPr>
                <w:rFonts w:cs="Arial"/>
                <w:i/>
                <w:iCs/>
              </w:rPr>
            </w:pPr>
          </w:p>
        </w:tc>
        <w:tc>
          <w:tcPr>
            <w:tcW w:w="5670" w:type="dxa"/>
            <w:vAlign w:val="top"/>
          </w:tcPr>
          <w:p w14:paraId="34FD376C" w14:textId="490FDFE8" w:rsidR="00DF1AFB" w:rsidRDefault="00DF1AFB" w:rsidP="00DF1AFB">
            <w:pPr>
              <w:spacing w:after="0" w:line="240" w:lineRule="auto"/>
              <w:rPr>
                <w:rFonts w:cs="Arial"/>
                <w:iCs/>
              </w:rPr>
            </w:pPr>
            <w:r w:rsidRPr="008578AF">
              <w:rPr>
                <w:rFonts w:cs="Arial"/>
                <w:iCs/>
              </w:rPr>
              <w:t>Jonathan prepared a slide</w:t>
            </w:r>
            <w:r>
              <w:rPr>
                <w:rFonts w:cs="Arial"/>
                <w:iCs/>
              </w:rPr>
              <w:t xml:space="preserve"> presentation on the work the Northwest</w:t>
            </w:r>
            <w:r w:rsidRPr="008578AF">
              <w:rPr>
                <w:rFonts w:cs="Arial"/>
                <w:iCs/>
              </w:rPr>
              <w:t xml:space="preserve"> MHTTC has </w:t>
            </w:r>
            <w:r>
              <w:rPr>
                <w:rFonts w:cs="Arial"/>
                <w:iCs/>
              </w:rPr>
              <w:t>done to move beyond GPRA data. He r</w:t>
            </w:r>
            <w:r w:rsidRPr="008578AF">
              <w:rPr>
                <w:rFonts w:cs="Arial"/>
                <w:iCs/>
              </w:rPr>
              <w:t>eviewed their research questions (reach of training, quality of trainings,</w:t>
            </w:r>
            <w:r>
              <w:rPr>
                <w:rFonts w:cs="Arial"/>
                <w:iCs/>
              </w:rPr>
              <w:t xml:space="preserve"> impact of TA and trainings),</w:t>
            </w:r>
            <w:r w:rsidRPr="008578AF">
              <w:rPr>
                <w:rFonts w:cs="Arial"/>
                <w:iCs/>
              </w:rPr>
              <w:t xml:space="preserve"> examples </w:t>
            </w:r>
            <w:r>
              <w:rPr>
                <w:rFonts w:cs="Arial"/>
                <w:iCs/>
              </w:rPr>
              <w:t>of questions they ask, and m</w:t>
            </w:r>
            <w:r w:rsidRPr="008578AF">
              <w:rPr>
                <w:rFonts w:cs="Arial"/>
                <w:iCs/>
              </w:rPr>
              <w:t xml:space="preserve">easures (reach, quality, attitudes, drivers and barriers, outcomes). </w:t>
            </w:r>
            <w:r>
              <w:rPr>
                <w:rFonts w:cs="Arial"/>
                <w:iCs/>
              </w:rPr>
              <w:t xml:space="preserve">In Year 1, they collected </w:t>
            </w:r>
            <w:r w:rsidRPr="008578AF">
              <w:rPr>
                <w:rFonts w:cs="Arial"/>
                <w:iCs/>
              </w:rPr>
              <w:t>mo</w:t>
            </w:r>
            <w:r>
              <w:rPr>
                <w:rFonts w:cs="Arial"/>
                <w:iCs/>
              </w:rPr>
              <w:t>re in-person data, but since then have transitioned</w:t>
            </w:r>
            <w:r w:rsidRPr="008578AF">
              <w:rPr>
                <w:rFonts w:cs="Arial"/>
                <w:iCs/>
              </w:rPr>
              <w:t xml:space="preserve"> to doing more</w:t>
            </w:r>
            <w:r>
              <w:rPr>
                <w:rFonts w:cs="Arial"/>
                <w:iCs/>
              </w:rPr>
              <w:t xml:space="preserve"> online data collection. They use </w:t>
            </w:r>
            <w:proofErr w:type="spellStart"/>
            <w:r>
              <w:rPr>
                <w:rFonts w:cs="Arial"/>
                <w:iCs/>
              </w:rPr>
              <w:t>REDCap</w:t>
            </w:r>
            <w:proofErr w:type="spellEnd"/>
            <w:r>
              <w:rPr>
                <w:rFonts w:cs="Arial"/>
                <w:iCs/>
              </w:rPr>
              <w:t xml:space="preserve"> and the </w:t>
            </w:r>
            <w:proofErr w:type="spellStart"/>
            <w:r>
              <w:rPr>
                <w:rFonts w:cs="Arial"/>
                <w:iCs/>
              </w:rPr>
              <w:t>HealtheKnowledge</w:t>
            </w:r>
            <w:proofErr w:type="spellEnd"/>
            <w:r w:rsidRPr="008578AF">
              <w:rPr>
                <w:rFonts w:cs="Arial"/>
                <w:iCs/>
              </w:rPr>
              <w:t xml:space="preserve"> GPRA Plugin for online courses, but found that </w:t>
            </w:r>
            <w:r>
              <w:rPr>
                <w:rFonts w:cs="Arial"/>
                <w:iCs/>
              </w:rPr>
              <w:t xml:space="preserve">their </w:t>
            </w:r>
            <w:r w:rsidRPr="008578AF">
              <w:rPr>
                <w:rFonts w:cs="Arial"/>
                <w:iCs/>
              </w:rPr>
              <w:t>response rates go down</w:t>
            </w:r>
            <w:r>
              <w:rPr>
                <w:rFonts w:cs="Arial"/>
                <w:iCs/>
              </w:rPr>
              <w:t xml:space="preserve"> with more survey tools. They h</w:t>
            </w:r>
            <w:r w:rsidRPr="008578AF">
              <w:rPr>
                <w:rFonts w:cs="Arial"/>
                <w:iCs/>
              </w:rPr>
              <w:t xml:space="preserve">ave created a tiered evaluation plan for intensive </w:t>
            </w:r>
            <w:r>
              <w:rPr>
                <w:rFonts w:cs="Arial"/>
                <w:iCs/>
              </w:rPr>
              <w:t>training and TA. Tier 1 includes</w:t>
            </w:r>
            <w:r w:rsidRPr="008578AF">
              <w:rPr>
                <w:rFonts w:cs="Arial"/>
                <w:iCs/>
              </w:rPr>
              <w:t xml:space="preserve"> GPRA, IOTTA, </w:t>
            </w:r>
            <w:r>
              <w:rPr>
                <w:rFonts w:cs="Arial"/>
                <w:iCs/>
              </w:rPr>
              <w:t xml:space="preserve">and </w:t>
            </w:r>
            <w:r w:rsidRPr="008578AF">
              <w:rPr>
                <w:rFonts w:cs="Arial"/>
                <w:iCs/>
              </w:rPr>
              <w:t>IUS. Tier 3 includes online pre</w:t>
            </w:r>
            <w:r>
              <w:rPr>
                <w:rFonts w:cs="Arial"/>
                <w:iCs/>
              </w:rPr>
              <w:t>-</w:t>
            </w:r>
            <w:r w:rsidRPr="008578AF">
              <w:rPr>
                <w:rFonts w:cs="Arial"/>
                <w:iCs/>
              </w:rPr>
              <w:t>t</w:t>
            </w:r>
            <w:r>
              <w:rPr>
                <w:rFonts w:cs="Arial"/>
                <w:iCs/>
              </w:rPr>
              <w:t>raining session evaluations, in-</w:t>
            </w:r>
            <w:r w:rsidRPr="008578AF">
              <w:rPr>
                <w:rFonts w:cs="Arial"/>
                <w:iCs/>
              </w:rPr>
              <w:t>person trainings, and intensive follow-up co</w:t>
            </w:r>
            <w:r>
              <w:rPr>
                <w:rFonts w:cs="Arial"/>
                <w:iCs/>
              </w:rPr>
              <w:t>nsultation. They collect 3/6/12-</w:t>
            </w:r>
            <w:r w:rsidRPr="008578AF">
              <w:rPr>
                <w:rFonts w:cs="Arial"/>
                <w:iCs/>
              </w:rPr>
              <w:t xml:space="preserve">month follow up data. Sample outcomes include levels of satisfaction that are shared with trainers, predictors of outcomes </w:t>
            </w:r>
            <w:r>
              <w:rPr>
                <w:rFonts w:cs="Arial"/>
                <w:iCs/>
              </w:rPr>
              <w:t>(</w:t>
            </w:r>
            <w:r w:rsidRPr="008578AF">
              <w:rPr>
                <w:rFonts w:cs="Arial"/>
                <w:iCs/>
              </w:rPr>
              <w:t>longer events</w:t>
            </w:r>
            <w:r>
              <w:rPr>
                <w:rFonts w:cs="Arial"/>
                <w:iCs/>
              </w:rPr>
              <w:t xml:space="preserve"> show</w:t>
            </w:r>
            <w:r w:rsidRPr="008578AF">
              <w:rPr>
                <w:rFonts w:cs="Arial"/>
                <w:iCs/>
              </w:rPr>
              <w:t xml:space="preserve"> higher impact, online trainings are rated hi</w:t>
            </w:r>
            <w:r>
              <w:rPr>
                <w:rFonts w:cs="Arial"/>
                <w:iCs/>
              </w:rPr>
              <w:t>gher than in-person trainings</w:t>
            </w:r>
            <w:r w:rsidRPr="008578AF">
              <w:rPr>
                <w:rFonts w:cs="Arial"/>
                <w:iCs/>
              </w:rPr>
              <w:t>, positive post event</w:t>
            </w:r>
            <w:r>
              <w:rPr>
                <w:rFonts w:cs="Arial"/>
                <w:iCs/>
              </w:rPr>
              <w:t xml:space="preserve"> intentions drop off). They a</w:t>
            </w:r>
            <w:r w:rsidRPr="008578AF">
              <w:rPr>
                <w:rFonts w:cs="Arial"/>
                <w:iCs/>
              </w:rPr>
              <w:t xml:space="preserve">re disseminating findings </w:t>
            </w:r>
            <w:r>
              <w:rPr>
                <w:rFonts w:cs="Arial"/>
                <w:iCs/>
              </w:rPr>
              <w:t xml:space="preserve">to their advisory committee and internal team </w:t>
            </w:r>
            <w:r w:rsidRPr="008578AF">
              <w:rPr>
                <w:rFonts w:cs="Arial"/>
                <w:iCs/>
              </w:rPr>
              <w:t>throug</w:t>
            </w:r>
            <w:r>
              <w:rPr>
                <w:rFonts w:cs="Arial"/>
                <w:iCs/>
              </w:rPr>
              <w:t xml:space="preserve">h an interactive dashboard and reports. </w:t>
            </w:r>
            <w:r w:rsidR="007D0306">
              <w:rPr>
                <w:rFonts w:cs="Arial"/>
                <w:iCs/>
              </w:rPr>
              <w:t>See shared slides and instruments</w:t>
            </w:r>
            <w:r>
              <w:rPr>
                <w:rFonts w:cs="Arial"/>
                <w:iCs/>
              </w:rPr>
              <w:t xml:space="preserve">. </w:t>
            </w:r>
          </w:p>
          <w:p w14:paraId="010DB043" w14:textId="77777777" w:rsidR="007D0306" w:rsidRPr="008578AF" w:rsidRDefault="007D0306" w:rsidP="00DF1AFB">
            <w:pPr>
              <w:spacing w:after="0" w:line="240" w:lineRule="auto"/>
              <w:rPr>
                <w:rFonts w:cs="Arial"/>
                <w:iCs/>
              </w:rPr>
            </w:pPr>
          </w:p>
          <w:p w14:paraId="7143EB6B" w14:textId="77777777" w:rsidR="00DF1AFB" w:rsidRPr="008578AF" w:rsidRDefault="00DF1AFB" w:rsidP="00DF1AFB">
            <w:pPr>
              <w:spacing w:after="0" w:line="240" w:lineRule="auto"/>
              <w:rPr>
                <w:rFonts w:cs="Arial"/>
                <w:iCs/>
              </w:rPr>
            </w:pPr>
            <w:r w:rsidRPr="008578AF">
              <w:rPr>
                <w:rFonts w:cs="Arial"/>
                <w:iCs/>
              </w:rPr>
              <w:t>Discussion:</w:t>
            </w:r>
          </w:p>
          <w:p w14:paraId="032D37A8" w14:textId="35062D98" w:rsidR="00DF1AFB" w:rsidRDefault="007D0306" w:rsidP="00DF1AFB">
            <w:pPr>
              <w:pStyle w:val="ListParagraph"/>
              <w:numPr>
                <w:ilvl w:val="0"/>
                <w:numId w:val="5"/>
              </w:numPr>
              <w:spacing w:after="0" w:line="240" w:lineRule="auto"/>
              <w:rPr>
                <w:rFonts w:cs="Arial"/>
                <w:iCs/>
              </w:rPr>
            </w:pPr>
            <w:r>
              <w:rPr>
                <w:rFonts w:cs="Arial"/>
                <w:iCs/>
              </w:rPr>
              <w:t xml:space="preserve">The New England </w:t>
            </w:r>
            <w:proofErr w:type="spellStart"/>
            <w:r w:rsidR="00DF1AFB" w:rsidRPr="00221DE6">
              <w:rPr>
                <w:rFonts w:cs="Arial"/>
                <w:iCs/>
              </w:rPr>
              <w:t>PTTC</w:t>
            </w:r>
            <w:proofErr w:type="spellEnd"/>
            <w:r w:rsidR="00DF1AFB" w:rsidRPr="00221DE6">
              <w:rPr>
                <w:rFonts w:cs="Arial"/>
                <w:iCs/>
              </w:rPr>
              <w:t xml:space="preserve"> has begun to implement additional measures for follow up. </w:t>
            </w:r>
          </w:p>
          <w:p w14:paraId="126678CB" w14:textId="77777777" w:rsidR="00DF1AFB" w:rsidRDefault="00DF1AFB" w:rsidP="00DF1AFB">
            <w:pPr>
              <w:pStyle w:val="ListParagraph"/>
              <w:numPr>
                <w:ilvl w:val="0"/>
                <w:numId w:val="5"/>
              </w:numPr>
              <w:spacing w:after="0" w:line="240" w:lineRule="auto"/>
              <w:rPr>
                <w:rFonts w:cs="Arial"/>
                <w:iCs/>
              </w:rPr>
            </w:pPr>
            <w:r w:rsidRPr="00221DE6">
              <w:rPr>
                <w:rFonts w:cs="Arial"/>
                <w:iCs/>
              </w:rPr>
              <w:t xml:space="preserve">Group discussion about challenges and strategies to complete surveys and follow up surveys. Some Centers shared that they provide frequent reminders and offer incentives (e.g., $5 gift cards). </w:t>
            </w:r>
          </w:p>
          <w:p w14:paraId="49A3A5E8" w14:textId="77777777" w:rsidR="00DF1AFB" w:rsidRDefault="00DF1AFB" w:rsidP="00DF1AFB">
            <w:pPr>
              <w:pStyle w:val="ListParagraph"/>
              <w:numPr>
                <w:ilvl w:val="0"/>
                <w:numId w:val="5"/>
              </w:numPr>
              <w:spacing w:after="0" w:line="240" w:lineRule="auto"/>
              <w:rPr>
                <w:rFonts w:cs="Arial"/>
                <w:iCs/>
              </w:rPr>
            </w:pPr>
            <w:r w:rsidRPr="00221DE6">
              <w:rPr>
                <w:rFonts w:cs="Arial"/>
                <w:iCs/>
              </w:rPr>
              <w:lastRenderedPageBreak/>
              <w:t xml:space="preserve">Aaron shared that their Center is trying to figure out how to do the appropriate amount of evaluation for intensive trainings. Are doing skill evaluation and skill demonstration, but not currently pretesting. </w:t>
            </w:r>
          </w:p>
          <w:p w14:paraId="25EB0FA4" w14:textId="2820683C" w:rsidR="00DF1AFB" w:rsidRPr="00221DE6" w:rsidRDefault="00DF1AFB" w:rsidP="00DF1AFB">
            <w:pPr>
              <w:pStyle w:val="ListParagraph"/>
              <w:numPr>
                <w:ilvl w:val="0"/>
                <w:numId w:val="5"/>
              </w:numPr>
              <w:spacing w:after="0" w:line="240" w:lineRule="auto"/>
              <w:rPr>
                <w:rFonts w:cs="Arial"/>
                <w:iCs/>
              </w:rPr>
            </w:pPr>
            <w:r w:rsidRPr="00221DE6">
              <w:rPr>
                <w:rFonts w:cs="Arial"/>
                <w:iCs/>
              </w:rPr>
              <w:t xml:space="preserve">National Hispanic and Latino PTTC and ATTC have added three new qualitative questions to its surveys. </w:t>
            </w:r>
          </w:p>
        </w:tc>
      </w:tr>
      <w:tr w:rsidR="00DF1AFB" w:rsidRPr="00FA1A5F" w14:paraId="3357856D" w14:textId="77777777" w:rsidTr="00DF1AFB">
        <w:trPr>
          <w:cnfStyle w:val="000000010000" w:firstRow="0" w:lastRow="0" w:firstColumn="0" w:lastColumn="0" w:oddVBand="0" w:evenVBand="0" w:oddHBand="0" w:evenHBand="1" w:firstRowFirstColumn="0" w:firstRowLastColumn="0" w:lastRowFirstColumn="0" w:lastRowLastColumn="0"/>
          <w:trHeight w:val="755"/>
        </w:trPr>
        <w:tc>
          <w:tcPr>
            <w:tcW w:w="1980" w:type="dxa"/>
            <w:vAlign w:val="top"/>
          </w:tcPr>
          <w:p w14:paraId="1496C623" w14:textId="77777777" w:rsidR="00DF1AFB" w:rsidRPr="00FA1A5F" w:rsidRDefault="00DF1AFB" w:rsidP="00DF1AFB">
            <w:pPr>
              <w:spacing w:after="0" w:line="240" w:lineRule="auto"/>
              <w:rPr>
                <w:rFonts w:cs="Arial"/>
                <w:b/>
                <w:bCs/>
                <w:i/>
                <w:iCs/>
              </w:rPr>
            </w:pPr>
            <w:r w:rsidRPr="00FA1A5F">
              <w:rPr>
                <w:rFonts w:cs="Arial"/>
                <w:i/>
                <w:iCs/>
              </w:rPr>
              <w:lastRenderedPageBreak/>
              <w:t>Recap and ending remarks</w:t>
            </w:r>
            <w:r w:rsidRPr="00FA1A5F">
              <w:rPr>
                <w:rFonts w:cs="Arial"/>
                <w:b/>
                <w:bCs/>
                <w:i/>
                <w:iCs/>
              </w:rPr>
              <w:t xml:space="preserve"> </w:t>
            </w:r>
          </w:p>
          <w:p w14:paraId="382A3980" w14:textId="1A644AD0" w:rsidR="00DF1AFB" w:rsidRPr="00FA1A5F" w:rsidRDefault="00DF1AFB" w:rsidP="00DF1AFB">
            <w:pPr>
              <w:pStyle w:val="ListParagraph"/>
              <w:numPr>
                <w:ilvl w:val="0"/>
                <w:numId w:val="3"/>
              </w:numPr>
              <w:spacing w:after="0" w:line="240" w:lineRule="auto"/>
              <w:rPr>
                <w:rFonts w:cs="Arial"/>
                <w:i/>
                <w:iCs/>
              </w:rPr>
            </w:pPr>
            <w:r w:rsidRPr="00FA1A5F">
              <w:rPr>
                <w:rFonts w:cs="Arial"/>
                <w:i/>
                <w:iCs/>
              </w:rPr>
              <w:t>Next meeting date</w:t>
            </w:r>
          </w:p>
          <w:p w14:paraId="016B5320" w14:textId="4FE0A04A" w:rsidR="00DF1AFB" w:rsidRPr="00FA1A5F" w:rsidRDefault="00DF1AFB" w:rsidP="00DF1AFB">
            <w:pPr>
              <w:pStyle w:val="ListParagraph"/>
              <w:numPr>
                <w:ilvl w:val="0"/>
                <w:numId w:val="3"/>
              </w:numPr>
              <w:spacing w:after="0" w:line="240" w:lineRule="auto"/>
              <w:rPr>
                <w:rFonts w:cs="Arial"/>
                <w:b/>
                <w:bCs/>
                <w:i/>
                <w:iCs/>
              </w:rPr>
            </w:pPr>
            <w:r w:rsidRPr="00FA1A5F">
              <w:rPr>
                <w:rFonts w:cs="Arial"/>
                <w:i/>
                <w:iCs/>
              </w:rPr>
              <w:t>Volunteers and/or ideas for spotlight</w:t>
            </w:r>
          </w:p>
        </w:tc>
        <w:tc>
          <w:tcPr>
            <w:tcW w:w="1530" w:type="dxa"/>
            <w:vAlign w:val="top"/>
          </w:tcPr>
          <w:p w14:paraId="0D60ABB9" w14:textId="63776F76" w:rsidR="00DF1AFB" w:rsidRPr="00FA1A5F" w:rsidRDefault="00DF1AFB" w:rsidP="00DF1AFB">
            <w:pPr>
              <w:spacing w:after="0" w:line="240" w:lineRule="auto"/>
              <w:rPr>
                <w:rFonts w:cs="Arial"/>
                <w:i/>
                <w:iCs/>
              </w:rPr>
            </w:pPr>
            <w:r w:rsidRPr="00FA1A5F">
              <w:rPr>
                <w:rFonts w:cs="Arial"/>
                <w:i/>
                <w:iCs/>
              </w:rPr>
              <w:t>Megan</w:t>
            </w:r>
          </w:p>
        </w:tc>
        <w:tc>
          <w:tcPr>
            <w:tcW w:w="5670" w:type="dxa"/>
            <w:vAlign w:val="top"/>
          </w:tcPr>
          <w:p w14:paraId="3D6CAD9E" w14:textId="77777777" w:rsidR="00DF1AFB" w:rsidRDefault="00DF1AFB" w:rsidP="00DF1AFB">
            <w:pPr>
              <w:spacing w:after="0" w:line="240" w:lineRule="auto"/>
              <w:rPr>
                <w:rFonts w:cs="Arial"/>
              </w:rPr>
            </w:pPr>
            <w:r>
              <w:rPr>
                <w:rFonts w:cs="Arial"/>
              </w:rPr>
              <w:t xml:space="preserve">Suggestions for future agenda topics: </w:t>
            </w:r>
          </w:p>
          <w:p w14:paraId="60270090" w14:textId="2770BD55" w:rsidR="00DF1AFB" w:rsidRDefault="00DF1AFB" w:rsidP="00DF1AFB">
            <w:pPr>
              <w:pStyle w:val="ListParagraph"/>
              <w:numPr>
                <w:ilvl w:val="0"/>
                <w:numId w:val="4"/>
              </w:numPr>
              <w:spacing w:after="0" w:line="240" w:lineRule="auto"/>
              <w:rPr>
                <w:rFonts w:cs="Arial"/>
              </w:rPr>
            </w:pPr>
            <w:r>
              <w:rPr>
                <w:rFonts w:cs="Arial"/>
              </w:rPr>
              <w:t>H</w:t>
            </w:r>
            <w:r w:rsidRPr="00A03A7D">
              <w:rPr>
                <w:rFonts w:cs="Arial"/>
              </w:rPr>
              <w:t xml:space="preserve">ow social distancing and “stay at home” ordinances are </w:t>
            </w:r>
            <w:r>
              <w:rPr>
                <w:rFonts w:cs="Arial"/>
              </w:rPr>
              <w:t>affecting the workforce that TTCs serve given that some are losing their jobs? H</w:t>
            </w:r>
            <w:r w:rsidRPr="00A03A7D">
              <w:rPr>
                <w:rFonts w:cs="Arial"/>
              </w:rPr>
              <w:t xml:space="preserve">ow </w:t>
            </w:r>
            <w:r>
              <w:rPr>
                <w:rFonts w:cs="Arial"/>
              </w:rPr>
              <w:t xml:space="preserve">will </w:t>
            </w:r>
            <w:r w:rsidRPr="00A03A7D">
              <w:rPr>
                <w:rFonts w:cs="Arial"/>
              </w:rPr>
              <w:t>the implemen</w:t>
            </w:r>
            <w:r>
              <w:rPr>
                <w:rFonts w:cs="Arial"/>
              </w:rPr>
              <w:t xml:space="preserve">tation of our deliverables be </w:t>
            </w:r>
            <w:r w:rsidRPr="00A03A7D">
              <w:rPr>
                <w:rFonts w:cs="Arial"/>
              </w:rPr>
              <w:t>affected by what is happening in our world right now</w:t>
            </w:r>
            <w:r>
              <w:rPr>
                <w:rFonts w:cs="Arial"/>
              </w:rPr>
              <w:t>?</w:t>
            </w:r>
          </w:p>
          <w:p w14:paraId="12EC704C" w14:textId="2149D03E" w:rsidR="00DF1AFB" w:rsidRPr="00A03A7D" w:rsidRDefault="00DF1AFB" w:rsidP="00DF1AFB">
            <w:pPr>
              <w:pStyle w:val="ListParagraph"/>
              <w:numPr>
                <w:ilvl w:val="0"/>
                <w:numId w:val="4"/>
              </w:numPr>
              <w:spacing w:after="0" w:line="240" w:lineRule="auto"/>
              <w:rPr>
                <w:rFonts w:cs="Arial"/>
              </w:rPr>
            </w:pPr>
            <w:r>
              <w:rPr>
                <w:rFonts w:cs="Arial"/>
              </w:rPr>
              <w:t xml:space="preserve">How are the TTCs </w:t>
            </w:r>
            <w:r w:rsidRPr="00A03A7D">
              <w:rPr>
                <w:rFonts w:cs="Arial"/>
              </w:rPr>
              <w:t>assessing the delivery of culturally and linguisti</w:t>
            </w:r>
            <w:r>
              <w:rPr>
                <w:rFonts w:cs="Arial"/>
              </w:rPr>
              <w:t>cally appropriate TA/Training? </w:t>
            </w:r>
            <w:r w:rsidRPr="00A03A7D">
              <w:rPr>
                <w:rFonts w:cs="Arial"/>
              </w:rPr>
              <w:t xml:space="preserve">Is </w:t>
            </w:r>
            <w:r>
              <w:rPr>
                <w:rFonts w:cs="Arial"/>
              </w:rPr>
              <w:t>this something we are measuring?</w:t>
            </w:r>
          </w:p>
          <w:p w14:paraId="0E2C7F22" w14:textId="77777777" w:rsidR="007D0306" w:rsidRDefault="007D0306" w:rsidP="00DF1AFB">
            <w:pPr>
              <w:spacing w:after="0" w:line="240" w:lineRule="auto"/>
              <w:rPr>
                <w:rFonts w:cs="Arial"/>
              </w:rPr>
            </w:pPr>
          </w:p>
          <w:p w14:paraId="6F5F3A96" w14:textId="052F99D0" w:rsidR="00DF1AFB" w:rsidRPr="008578AF" w:rsidRDefault="00DF1AFB" w:rsidP="00DF1AFB">
            <w:pPr>
              <w:spacing w:after="0" w:line="240" w:lineRule="auto"/>
              <w:rPr>
                <w:rFonts w:cs="Arial"/>
                <w:i/>
                <w:iCs/>
              </w:rPr>
            </w:pPr>
            <w:r>
              <w:rPr>
                <w:rFonts w:cs="Arial"/>
              </w:rPr>
              <w:t>The n</w:t>
            </w:r>
            <w:r w:rsidRPr="008578AF">
              <w:rPr>
                <w:rFonts w:cs="Arial"/>
              </w:rPr>
              <w:t>ext meeting will be on Wednesday, May 27</w:t>
            </w:r>
            <w:r w:rsidRPr="008578AF">
              <w:rPr>
                <w:rFonts w:cs="Arial"/>
                <w:vertAlign w:val="superscript"/>
              </w:rPr>
              <w:t>th</w:t>
            </w:r>
            <w:r w:rsidRPr="008578AF">
              <w:rPr>
                <w:rFonts w:cs="Arial"/>
              </w:rPr>
              <w:t xml:space="preserve"> at 1 pm ET. </w:t>
            </w:r>
          </w:p>
        </w:tc>
      </w:tr>
    </w:tbl>
    <w:p w14:paraId="020D4698" w14:textId="0A0F4637" w:rsidR="00F7758F" w:rsidRDefault="00F7758F" w:rsidP="00DF1AFB">
      <w:pPr>
        <w:spacing w:after="0" w:line="240" w:lineRule="auto"/>
        <w:rPr>
          <w:b/>
        </w:rPr>
      </w:pPr>
    </w:p>
    <w:p w14:paraId="07055B30" w14:textId="34684521" w:rsidR="00985574" w:rsidRPr="00F7758F" w:rsidRDefault="00985574" w:rsidP="00DF1AFB">
      <w:pPr>
        <w:spacing w:after="0" w:line="240" w:lineRule="auto"/>
        <w:rPr>
          <w:b/>
        </w:rPr>
      </w:pPr>
    </w:p>
    <w:sectPr w:rsidR="00985574" w:rsidRPr="00F7758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8A34C" w14:textId="77777777" w:rsidR="006F02AF" w:rsidRDefault="006F02AF" w:rsidP="00740FE2">
      <w:pPr>
        <w:spacing w:after="0" w:line="240" w:lineRule="auto"/>
      </w:pPr>
      <w:r>
        <w:separator/>
      </w:r>
    </w:p>
  </w:endnote>
  <w:endnote w:type="continuationSeparator" w:id="0">
    <w:p w14:paraId="1C7B3DEC" w14:textId="77777777" w:rsidR="006F02AF" w:rsidRDefault="006F02AF" w:rsidP="00740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1D8FB" w14:textId="77777777" w:rsidR="006F02AF" w:rsidRDefault="006F02AF" w:rsidP="00740FE2">
      <w:pPr>
        <w:spacing w:after="0" w:line="240" w:lineRule="auto"/>
      </w:pPr>
      <w:r>
        <w:separator/>
      </w:r>
    </w:p>
  </w:footnote>
  <w:footnote w:type="continuationSeparator" w:id="0">
    <w:p w14:paraId="14F14061" w14:textId="77777777" w:rsidR="006F02AF" w:rsidRDefault="006F02AF" w:rsidP="00740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50312" w14:textId="0A9189C8" w:rsidR="00FE32B4" w:rsidRDefault="00FE32B4">
    <w:pPr>
      <w:pStyle w:val="Header"/>
    </w:pPr>
    <w:r w:rsidRPr="00D66DF6">
      <w:rPr>
        <w:noProof/>
      </w:rPr>
      <w:drawing>
        <wp:inline distT="0" distB="0" distL="0" distR="0" wp14:anchorId="0C5F7269" wp14:editId="44B4D4D3">
          <wp:extent cx="5705475" cy="590550"/>
          <wp:effectExtent l="0" t="0" r="9525" b="0"/>
          <wp:docPr id="2" name="Picture 2" descr="C:\Users\halsallv\AppData\Local\Temp\TTC2HORZ.1color P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sallv\AppData\Local\Temp\TTC2HORZ.1color P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86B2A"/>
    <w:multiLevelType w:val="hybridMultilevel"/>
    <w:tmpl w:val="D864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CC7B1B"/>
    <w:multiLevelType w:val="hybridMultilevel"/>
    <w:tmpl w:val="FE9E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3957CC"/>
    <w:multiLevelType w:val="hybridMultilevel"/>
    <w:tmpl w:val="D9D0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D33A59"/>
    <w:multiLevelType w:val="hybridMultilevel"/>
    <w:tmpl w:val="FC30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3D22F2"/>
    <w:multiLevelType w:val="hybridMultilevel"/>
    <w:tmpl w:val="D60E6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296B6F"/>
    <w:multiLevelType w:val="hybridMultilevel"/>
    <w:tmpl w:val="9286B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803BFC"/>
    <w:multiLevelType w:val="hybridMultilevel"/>
    <w:tmpl w:val="EE1C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502AD1"/>
    <w:multiLevelType w:val="hybridMultilevel"/>
    <w:tmpl w:val="8594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EA255D"/>
    <w:multiLevelType w:val="hybridMultilevel"/>
    <w:tmpl w:val="15DAA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CE6A15"/>
    <w:multiLevelType w:val="hybridMultilevel"/>
    <w:tmpl w:val="D5F4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7"/>
  </w:num>
  <w:num w:numId="5">
    <w:abstractNumId w:val="6"/>
  </w:num>
  <w:num w:numId="6">
    <w:abstractNumId w:val="8"/>
  </w:num>
  <w:num w:numId="7">
    <w:abstractNumId w:val="9"/>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8F"/>
    <w:rsid w:val="00022860"/>
    <w:rsid w:val="0004490C"/>
    <w:rsid w:val="00097CB8"/>
    <w:rsid w:val="000A3D7A"/>
    <w:rsid w:val="000C2EF1"/>
    <w:rsid w:val="000F5431"/>
    <w:rsid w:val="00152977"/>
    <w:rsid w:val="0017327F"/>
    <w:rsid w:val="00221DE6"/>
    <w:rsid w:val="00247876"/>
    <w:rsid w:val="00256887"/>
    <w:rsid w:val="00266BB2"/>
    <w:rsid w:val="00294444"/>
    <w:rsid w:val="002F2512"/>
    <w:rsid w:val="002F3F14"/>
    <w:rsid w:val="003226C4"/>
    <w:rsid w:val="00325A97"/>
    <w:rsid w:val="00367BB2"/>
    <w:rsid w:val="003E2432"/>
    <w:rsid w:val="003F0E81"/>
    <w:rsid w:val="004152F9"/>
    <w:rsid w:val="00421E41"/>
    <w:rsid w:val="00425121"/>
    <w:rsid w:val="00443B5C"/>
    <w:rsid w:val="00496CB4"/>
    <w:rsid w:val="00507867"/>
    <w:rsid w:val="0051391A"/>
    <w:rsid w:val="00517C18"/>
    <w:rsid w:val="00545CB5"/>
    <w:rsid w:val="005551F4"/>
    <w:rsid w:val="005872E9"/>
    <w:rsid w:val="006105DD"/>
    <w:rsid w:val="0061212F"/>
    <w:rsid w:val="00633165"/>
    <w:rsid w:val="00674593"/>
    <w:rsid w:val="006813D7"/>
    <w:rsid w:val="006921A1"/>
    <w:rsid w:val="006B7F46"/>
    <w:rsid w:val="006F02AF"/>
    <w:rsid w:val="006F4025"/>
    <w:rsid w:val="00724F0E"/>
    <w:rsid w:val="00740FE2"/>
    <w:rsid w:val="0075066A"/>
    <w:rsid w:val="00786C27"/>
    <w:rsid w:val="007D0306"/>
    <w:rsid w:val="00823A37"/>
    <w:rsid w:val="008578AF"/>
    <w:rsid w:val="00874F3F"/>
    <w:rsid w:val="008D0D75"/>
    <w:rsid w:val="008D2413"/>
    <w:rsid w:val="0092200E"/>
    <w:rsid w:val="0092398B"/>
    <w:rsid w:val="00944037"/>
    <w:rsid w:val="009567CB"/>
    <w:rsid w:val="00985574"/>
    <w:rsid w:val="00992850"/>
    <w:rsid w:val="009C4FA5"/>
    <w:rsid w:val="009E71CD"/>
    <w:rsid w:val="00A014BB"/>
    <w:rsid w:val="00A03A7D"/>
    <w:rsid w:val="00A177E1"/>
    <w:rsid w:val="00A237D8"/>
    <w:rsid w:val="00A25911"/>
    <w:rsid w:val="00A753DA"/>
    <w:rsid w:val="00AA79DE"/>
    <w:rsid w:val="00AB20B5"/>
    <w:rsid w:val="00AE5134"/>
    <w:rsid w:val="00B21543"/>
    <w:rsid w:val="00B62D89"/>
    <w:rsid w:val="00B7672E"/>
    <w:rsid w:val="00B81D9E"/>
    <w:rsid w:val="00BB1B54"/>
    <w:rsid w:val="00BE6DEE"/>
    <w:rsid w:val="00C009B8"/>
    <w:rsid w:val="00C9782B"/>
    <w:rsid w:val="00CA1B52"/>
    <w:rsid w:val="00CA79FD"/>
    <w:rsid w:val="00CC5F75"/>
    <w:rsid w:val="00CE4AAB"/>
    <w:rsid w:val="00CF609B"/>
    <w:rsid w:val="00D05B90"/>
    <w:rsid w:val="00D35447"/>
    <w:rsid w:val="00D420BD"/>
    <w:rsid w:val="00DF1AFB"/>
    <w:rsid w:val="00E027AF"/>
    <w:rsid w:val="00E03ABE"/>
    <w:rsid w:val="00E721B5"/>
    <w:rsid w:val="00F01455"/>
    <w:rsid w:val="00F04686"/>
    <w:rsid w:val="00F663EF"/>
    <w:rsid w:val="00F73FC6"/>
    <w:rsid w:val="00F7758F"/>
    <w:rsid w:val="00FA1A5F"/>
    <w:rsid w:val="00FE3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22D35"/>
  <w15:chartTrackingRefBased/>
  <w15:docId w15:val="{9CD69A86-337E-44CE-B456-26F5594D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228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58F"/>
    <w:pPr>
      <w:ind w:left="720"/>
      <w:contextualSpacing/>
    </w:pPr>
  </w:style>
  <w:style w:type="character" w:styleId="Hyperlink">
    <w:name w:val="Hyperlink"/>
    <w:basedOn w:val="DefaultParagraphFont"/>
    <w:uiPriority w:val="99"/>
    <w:unhideWhenUsed/>
    <w:rsid w:val="00E721B5"/>
    <w:rPr>
      <w:color w:val="0563C1" w:themeColor="hyperlink"/>
      <w:u w:val="single"/>
    </w:rPr>
  </w:style>
  <w:style w:type="paragraph" w:customStyle="1" w:styleId="xmsolistparagraph">
    <w:name w:val="x_msolistparagraph"/>
    <w:basedOn w:val="Normal"/>
    <w:rsid w:val="0061212F"/>
    <w:pPr>
      <w:spacing w:after="0" w:line="240" w:lineRule="auto"/>
    </w:pPr>
    <w:rPr>
      <w:rFonts w:ascii="Times New Roman" w:hAnsi="Times New Roman" w:cs="Times New Roman"/>
      <w:sz w:val="24"/>
      <w:szCs w:val="24"/>
    </w:rPr>
  </w:style>
  <w:style w:type="table" w:styleId="TableGrid">
    <w:name w:val="Table Grid"/>
    <w:basedOn w:val="TableNormal"/>
    <w:uiPriority w:val="39"/>
    <w:rsid w:val="00507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2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850"/>
    <w:rPr>
      <w:rFonts w:ascii="Segoe UI" w:hAnsi="Segoe UI" w:cs="Segoe UI"/>
      <w:sz w:val="18"/>
      <w:szCs w:val="18"/>
    </w:rPr>
  </w:style>
  <w:style w:type="paragraph" w:styleId="Header">
    <w:name w:val="header"/>
    <w:basedOn w:val="Normal"/>
    <w:link w:val="HeaderChar"/>
    <w:uiPriority w:val="99"/>
    <w:unhideWhenUsed/>
    <w:rsid w:val="00740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FE2"/>
  </w:style>
  <w:style w:type="paragraph" w:styleId="Footer">
    <w:name w:val="footer"/>
    <w:basedOn w:val="Normal"/>
    <w:link w:val="FooterChar"/>
    <w:uiPriority w:val="99"/>
    <w:unhideWhenUsed/>
    <w:rsid w:val="00740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FE2"/>
  </w:style>
  <w:style w:type="table" w:customStyle="1" w:styleId="PCGGeneralTable1">
    <w:name w:val="PCG General Table1"/>
    <w:basedOn w:val="TableGrid1"/>
    <w:next w:val="TableGridLight"/>
    <w:uiPriority w:val="40"/>
    <w:rsid w:val="00CA1B52"/>
    <w:rPr>
      <w:rFonts w:ascii="Arial" w:eastAsia="Times New Roman" w:hAnsi="Arial" w:cs="Times New Roman"/>
      <w:sz w:val="20"/>
      <w:szCs w:val="20"/>
      <w:lang w:eastAsia="ja-JP"/>
    </w:rPr>
    <w:tblPr>
      <w:tblStyleRowBandSize w:val="1"/>
      <w:tblBorders>
        <w:top w:val="single" w:sz="4" w:space="0" w:color="D9D9D9"/>
        <w:left w:val="none" w:sz="0" w:space="0" w:color="auto"/>
        <w:bottom w:val="single" w:sz="4" w:space="0" w:color="D9D9D9"/>
        <w:right w:val="none" w:sz="0" w:space="0" w:color="auto"/>
        <w:insideH w:val="single" w:sz="4" w:space="0" w:color="D9D9D9"/>
        <w:insideV w:val="single" w:sz="4" w:space="0" w:color="D9D9D9"/>
      </w:tblBorders>
    </w:tblPr>
    <w:tcPr>
      <w:shd w:val="clear" w:color="auto" w:fill="auto"/>
      <w:vAlign w:val="center"/>
    </w:tcPr>
    <w:tblStylePr w:type="firstRow">
      <w:rPr>
        <w:rFonts w:ascii="Arial" w:hAnsi="Arial"/>
        <w:b/>
        <w:color w:val="00A0CA"/>
        <w:sz w:val="22"/>
      </w:rPr>
    </w:tblStylePr>
    <w:tblStylePr w:type="lastRow">
      <w:rPr>
        <w:b/>
        <w:i/>
        <w:iCs/>
        <w:color w:val="00A0CA"/>
      </w:rPr>
      <w:tblPr/>
      <w:tcPr>
        <w:tcBorders>
          <w:tl2br w:val="none" w:sz="0" w:space="0" w:color="auto"/>
          <w:tr2bl w:val="none" w:sz="0" w:space="0" w:color="auto"/>
        </w:tcBorders>
        <w:shd w:val="clear" w:color="auto" w:fill="F2F2F2"/>
      </w:tcPr>
    </w:tblStylePr>
    <w:tblStylePr w:type="lastCol">
      <w:rPr>
        <w:i/>
        <w:iCs/>
      </w:rPr>
      <w:tblPr/>
      <w:tcPr>
        <w:tcBorders>
          <w:tl2br w:val="none" w:sz="0" w:space="0" w:color="auto"/>
          <w:tr2bl w:val="none" w:sz="0" w:space="0" w:color="auto"/>
        </w:tcBorders>
      </w:tcPr>
    </w:tblStylePr>
    <w:tblStylePr w:type="band1Horz">
      <w:tblPr/>
      <w:tcPr>
        <w:shd w:val="clear" w:color="auto" w:fill="auto"/>
      </w:tcPr>
    </w:tblStylePr>
    <w:tblStylePr w:type="band2Horz">
      <w:tblPr/>
      <w:tcPr>
        <w:shd w:val="clear" w:color="auto" w:fill="FFFFFF"/>
      </w:tcPr>
    </w:tblStylePr>
  </w:style>
  <w:style w:type="table" w:styleId="TableGrid1">
    <w:name w:val="Table Grid 1"/>
    <w:basedOn w:val="TableNormal"/>
    <w:uiPriority w:val="99"/>
    <w:semiHidden/>
    <w:unhideWhenUsed/>
    <w:rsid w:val="00CA1B5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rsid w:val="00CA1B5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022860"/>
    <w:rPr>
      <w:rFonts w:ascii="Times New Roman" w:eastAsia="Times New Roman" w:hAnsi="Times New Roman" w:cs="Times New Roman"/>
      <w:b/>
      <w:bCs/>
      <w:sz w:val="27"/>
      <w:szCs w:val="27"/>
    </w:rPr>
  </w:style>
  <w:style w:type="character" w:customStyle="1" w:styleId="address-primary">
    <w:name w:val="address-primary"/>
    <w:basedOn w:val="DefaultParagraphFont"/>
    <w:rsid w:val="00022860"/>
  </w:style>
  <w:style w:type="character" w:customStyle="1" w:styleId="address-location">
    <w:name w:val="address-location"/>
    <w:basedOn w:val="DefaultParagraphFont"/>
    <w:rsid w:val="00022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233311">
      <w:bodyDiv w:val="1"/>
      <w:marLeft w:val="0"/>
      <w:marRight w:val="0"/>
      <w:marTop w:val="0"/>
      <w:marBottom w:val="0"/>
      <w:divBdr>
        <w:top w:val="none" w:sz="0" w:space="0" w:color="auto"/>
        <w:left w:val="none" w:sz="0" w:space="0" w:color="auto"/>
        <w:bottom w:val="none" w:sz="0" w:space="0" w:color="auto"/>
        <w:right w:val="none" w:sz="0" w:space="0" w:color="auto"/>
      </w:divBdr>
    </w:div>
    <w:div w:id="1151822820">
      <w:bodyDiv w:val="1"/>
      <w:marLeft w:val="0"/>
      <w:marRight w:val="0"/>
      <w:marTop w:val="0"/>
      <w:marBottom w:val="0"/>
      <w:divBdr>
        <w:top w:val="none" w:sz="0" w:space="0" w:color="auto"/>
        <w:left w:val="none" w:sz="0" w:space="0" w:color="auto"/>
        <w:bottom w:val="none" w:sz="0" w:space="0" w:color="auto"/>
        <w:right w:val="none" w:sz="0" w:space="0" w:color="auto"/>
      </w:divBdr>
    </w:div>
    <w:div w:id="1434129872">
      <w:bodyDiv w:val="1"/>
      <w:marLeft w:val="0"/>
      <w:marRight w:val="0"/>
      <w:marTop w:val="0"/>
      <w:marBottom w:val="0"/>
      <w:divBdr>
        <w:top w:val="none" w:sz="0" w:space="0" w:color="auto"/>
        <w:left w:val="none" w:sz="0" w:space="0" w:color="auto"/>
        <w:bottom w:val="none" w:sz="0" w:space="0" w:color="auto"/>
        <w:right w:val="none" w:sz="0" w:space="0" w:color="auto"/>
      </w:divBdr>
    </w:div>
    <w:div w:id="1623802639">
      <w:bodyDiv w:val="1"/>
      <w:marLeft w:val="0"/>
      <w:marRight w:val="0"/>
      <w:marTop w:val="0"/>
      <w:marBottom w:val="0"/>
      <w:divBdr>
        <w:top w:val="none" w:sz="0" w:space="0" w:color="auto"/>
        <w:left w:val="none" w:sz="0" w:space="0" w:color="auto"/>
        <w:bottom w:val="none" w:sz="0" w:space="0" w:color="auto"/>
        <w:right w:val="none" w:sz="0" w:space="0" w:color="auto"/>
      </w:divBdr>
    </w:div>
    <w:div w:id="200659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whitepages.com/address/3801-NE-77th-St/Kansas%20City-MO/4fkGzleAP7EhmTWquSLxlJ"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D6C2CD6C460540AE2BB5C00D83D3CF" ma:contentTypeVersion="14" ma:contentTypeDescription="Create a new document." ma:contentTypeScope="" ma:versionID="d498149fa589813b82361ebaa61a59fc">
  <xsd:schema xmlns:xsd="http://www.w3.org/2001/XMLSchema" xmlns:xs="http://www.w3.org/2001/XMLSchema" xmlns:p="http://schemas.microsoft.com/office/2006/metadata/properties" xmlns:ns1="http://schemas.microsoft.com/sharepoint/v3" xmlns:ns3="de924c08-5771-49ef-9e09-fc262c610b2a" xmlns:ns4="5469dab7-e3b0-4af6-bb61-49f90c945345" targetNamespace="http://schemas.microsoft.com/office/2006/metadata/properties" ma:root="true" ma:fieldsID="28d30a96fdf1f5ee34b922dc4d9104e7" ns1:_="" ns3:_="" ns4:_="">
    <xsd:import namespace="http://schemas.microsoft.com/sharepoint/v3"/>
    <xsd:import namespace="de924c08-5771-49ef-9e09-fc262c610b2a"/>
    <xsd:import namespace="5469dab7-e3b0-4af6-bb61-49f90c9453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924c08-5771-49ef-9e09-fc262c610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69dab7-e3b0-4af6-bb61-49f90c94534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0736C8-923E-41AA-B41D-612A03824E6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97FDDE8-0941-4658-B962-098C5AED2517}">
  <ds:schemaRefs>
    <ds:schemaRef ds:uri="http://schemas.microsoft.com/sharepoint/v3/contenttype/forms"/>
  </ds:schemaRefs>
</ds:datastoreItem>
</file>

<file path=customXml/itemProps3.xml><?xml version="1.0" encoding="utf-8"?>
<ds:datastoreItem xmlns:ds="http://schemas.openxmlformats.org/officeDocument/2006/customXml" ds:itemID="{DCA3F9D0-9C11-4E78-8CF7-11022BE66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924c08-5771-49ef-9e09-fc262c610b2a"/>
    <ds:schemaRef ds:uri="5469dab7-e3b0-4af6-bb61-49f90c945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4204</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Mallula, Kate</dc:creator>
  <cp:keywords/>
  <dc:description/>
  <cp:lastModifiedBy>Heather J. Gotham</cp:lastModifiedBy>
  <cp:revision>33</cp:revision>
  <dcterms:created xsi:type="dcterms:W3CDTF">2020-03-28T02:35:00Z</dcterms:created>
  <dcterms:modified xsi:type="dcterms:W3CDTF">2020-04-03T23:52:00Z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0x0101000ED6C2CD6C460540AE2BB5C00D83D3CF</vt:lpwstr>
  </property>
</Properties>
</file>