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AAD5" w14:textId="4B846DD1" w:rsidR="00873278" w:rsidRDefault="00873278" w:rsidP="00507867">
      <w:pPr>
        <w:rPr>
          <w:rFonts w:ascii="Arial Bold" w:eastAsia="Times New Roman" w:hAnsi="Arial Bold" w:cs="Times New Roman"/>
          <w:noProof/>
          <w:color w:val="0B3677"/>
          <w:spacing w:val="6"/>
          <w:sz w:val="32"/>
          <w:szCs w:val="32"/>
        </w:rPr>
      </w:pPr>
      <w:bookmarkStart w:id="0" w:name="_Hlk14342762"/>
      <w:r w:rsidRPr="00D66DF6">
        <w:rPr>
          <w:noProof/>
        </w:rPr>
        <w:drawing>
          <wp:anchor distT="0" distB="0" distL="114300" distR="114300" simplePos="0" relativeHeight="251658240" behindDoc="0" locked="0" layoutInCell="1" allowOverlap="1" wp14:anchorId="0A734F92" wp14:editId="3FA31490">
            <wp:simplePos x="0" y="0"/>
            <wp:positionH relativeFrom="column">
              <wp:posOffset>-15240</wp:posOffset>
            </wp:positionH>
            <wp:positionV relativeFrom="paragraph">
              <wp:posOffset>-373380</wp:posOffset>
            </wp:positionV>
            <wp:extent cx="5705475" cy="590550"/>
            <wp:effectExtent l="0" t="0" r="9525" b="0"/>
            <wp:wrapNone/>
            <wp:docPr id="2" name="Picture 2" descr="C:\Users\halsallv\AppData\Local\Temp\TTC2HORZ.1color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sallv\AppData\Local\Temp\TTC2HORZ.1color PM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5475" cy="590550"/>
                    </a:xfrm>
                    <a:prstGeom prst="rect">
                      <a:avLst/>
                    </a:prstGeom>
                    <a:noFill/>
                    <a:ln>
                      <a:noFill/>
                    </a:ln>
                  </pic:spPr>
                </pic:pic>
              </a:graphicData>
            </a:graphic>
          </wp:anchor>
        </w:drawing>
      </w:r>
    </w:p>
    <w:p w14:paraId="35E390E2" w14:textId="77777777" w:rsidR="00D454C4" w:rsidRDefault="006105DD" w:rsidP="00507867">
      <w:pPr>
        <w:rPr>
          <w:rFonts w:ascii="Arial" w:hAnsi="Arial" w:cs="Arial"/>
          <w:b/>
        </w:rPr>
      </w:pPr>
      <w:r w:rsidRPr="00440CBF">
        <w:rPr>
          <w:rFonts w:ascii="Arial Bold" w:eastAsia="Times New Roman" w:hAnsi="Arial Bold" w:cs="Times New Roman"/>
          <w:noProof/>
          <w:color w:val="0B3677"/>
          <w:spacing w:val="6"/>
          <w:sz w:val="32"/>
          <w:szCs w:val="32"/>
        </w:rPr>
        <w:t>TTC Evaluat</w:t>
      </w:r>
      <w:r>
        <w:rPr>
          <w:rFonts w:ascii="Arial Bold" w:eastAsia="Times New Roman" w:hAnsi="Arial Bold" w:cs="Times New Roman"/>
          <w:noProof/>
          <w:color w:val="0B3677"/>
          <w:spacing w:val="6"/>
          <w:sz w:val="32"/>
          <w:szCs w:val="32"/>
        </w:rPr>
        <w:t>ors</w:t>
      </w:r>
      <w:r w:rsidRPr="00440CBF">
        <w:rPr>
          <w:rFonts w:ascii="Arial Bold" w:eastAsia="Times New Roman" w:hAnsi="Arial Bold" w:cs="Times New Roman"/>
          <w:noProof/>
          <w:color w:val="0B3677"/>
          <w:spacing w:val="6"/>
          <w:sz w:val="32"/>
          <w:szCs w:val="32"/>
        </w:rPr>
        <w:t xml:space="preserve"> Special Interest Group </w:t>
      </w:r>
      <w:bookmarkEnd w:id="0"/>
      <w:r w:rsidR="00507867">
        <w:rPr>
          <w:b/>
        </w:rPr>
        <w:br/>
      </w:r>
    </w:p>
    <w:p w14:paraId="1E2CADD5" w14:textId="4C33C25D" w:rsidR="00507867" w:rsidRPr="00873278" w:rsidRDefault="00507867" w:rsidP="00507867">
      <w:pPr>
        <w:rPr>
          <w:rFonts w:ascii="Arial" w:hAnsi="Arial" w:cs="Arial"/>
          <w:b/>
        </w:rPr>
      </w:pPr>
      <w:r w:rsidRPr="00873278">
        <w:rPr>
          <w:rFonts w:ascii="Arial" w:hAnsi="Arial" w:cs="Arial"/>
          <w:b/>
        </w:rPr>
        <w:t xml:space="preserve">Meeting Agenda: </w:t>
      </w:r>
      <w:r w:rsidR="00B07A01">
        <w:rPr>
          <w:rFonts w:ascii="Arial" w:hAnsi="Arial" w:cs="Arial"/>
          <w:b/>
        </w:rPr>
        <w:t>July 22</w:t>
      </w:r>
      <w:r w:rsidRPr="00873278">
        <w:rPr>
          <w:rFonts w:ascii="Arial" w:hAnsi="Arial" w:cs="Arial"/>
          <w:b/>
        </w:rPr>
        <w:t>, 2020</w:t>
      </w:r>
    </w:p>
    <w:p w14:paraId="61131957" w14:textId="213527A4" w:rsidR="00482E78" w:rsidRPr="007B49AE" w:rsidRDefault="00B07A01" w:rsidP="00507867">
      <w:pPr>
        <w:rPr>
          <w:rFonts w:ascii="Arial" w:hAnsi="Arial" w:cs="Arial"/>
          <w:b/>
        </w:rPr>
      </w:pPr>
      <w:r>
        <w:rPr>
          <w:rFonts w:ascii="Arial" w:hAnsi="Arial" w:cs="Arial"/>
          <w:b/>
        </w:rPr>
        <w:t>Attendance: 30</w:t>
      </w:r>
      <w:r w:rsidR="00102C93" w:rsidRPr="00873278">
        <w:rPr>
          <w:rFonts w:ascii="Arial" w:hAnsi="Arial" w:cs="Arial"/>
          <w:b/>
        </w:rPr>
        <w:t xml:space="preserve"> participants</w:t>
      </w:r>
    </w:p>
    <w:tbl>
      <w:tblPr>
        <w:tblStyle w:val="PCGGeneralTable1"/>
        <w:tblW w:w="9540" w:type="dxa"/>
        <w:tblLayout w:type="fixed"/>
        <w:tblLook w:val="0400" w:firstRow="0" w:lastRow="0" w:firstColumn="0" w:lastColumn="0" w:noHBand="0" w:noVBand="1"/>
      </w:tblPr>
      <w:tblGrid>
        <w:gridCol w:w="2520"/>
        <w:gridCol w:w="1800"/>
        <w:gridCol w:w="5220"/>
      </w:tblGrid>
      <w:tr w:rsidR="00102C93" w:rsidRPr="00FA1A5F" w14:paraId="5B96BD10" w14:textId="39A07C77" w:rsidTr="00873278">
        <w:trPr>
          <w:cnfStyle w:val="000000100000" w:firstRow="0" w:lastRow="0" w:firstColumn="0" w:lastColumn="0" w:oddVBand="0" w:evenVBand="0" w:oddHBand="1" w:evenHBand="0" w:firstRowFirstColumn="0" w:firstRowLastColumn="0" w:lastRowFirstColumn="0" w:lastRowLastColumn="0"/>
          <w:trHeight w:val="755"/>
        </w:trPr>
        <w:tc>
          <w:tcPr>
            <w:tcW w:w="2520" w:type="dxa"/>
          </w:tcPr>
          <w:p w14:paraId="77672746" w14:textId="4877C0CB" w:rsidR="00102C93" w:rsidRPr="00FA1A5F" w:rsidRDefault="00102C93" w:rsidP="005108DF">
            <w:pPr>
              <w:rPr>
                <w:rFonts w:cs="Arial"/>
                <w:b/>
                <w:bCs/>
                <w:i/>
                <w:iCs/>
                <w:sz w:val="32"/>
                <w:szCs w:val="32"/>
              </w:rPr>
            </w:pPr>
            <w:r w:rsidRPr="00FA1A5F">
              <w:rPr>
                <w:rFonts w:cs="Arial"/>
                <w:b/>
                <w:bCs/>
                <w:i/>
                <w:iCs/>
                <w:sz w:val="32"/>
                <w:szCs w:val="32"/>
              </w:rPr>
              <w:t>Topic</w:t>
            </w:r>
          </w:p>
        </w:tc>
        <w:tc>
          <w:tcPr>
            <w:tcW w:w="1800" w:type="dxa"/>
          </w:tcPr>
          <w:p w14:paraId="4B5AA93B" w14:textId="310D0CC9" w:rsidR="00102C93" w:rsidRPr="00FA1A5F" w:rsidRDefault="00102C93" w:rsidP="005108DF">
            <w:pPr>
              <w:rPr>
                <w:rFonts w:cs="Arial"/>
                <w:b/>
                <w:bCs/>
                <w:i/>
                <w:iCs/>
                <w:sz w:val="32"/>
                <w:szCs w:val="32"/>
              </w:rPr>
            </w:pPr>
            <w:r w:rsidRPr="00FA1A5F">
              <w:rPr>
                <w:rFonts w:cs="Arial"/>
                <w:b/>
                <w:bCs/>
                <w:i/>
                <w:iCs/>
                <w:sz w:val="32"/>
                <w:szCs w:val="32"/>
              </w:rPr>
              <w:t>Presenter</w:t>
            </w:r>
          </w:p>
        </w:tc>
        <w:tc>
          <w:tcPr>
            <w:tcW w:w="5220" w:type="dxa"/>
          </w:tcPr>
          <w:p w14:paraId="5CD3A38A" w14:textId="2ECE9B17" w:rsidR="00102C93" w:rsidRPr="00FA1A5F" w:rsidRDefault="00102C93" w:rsidP="005108DF">
            <w:pPr>
              <w:rPr>
                <w:rFonts w:cs="Arial"/>
                <w:b/>
                <w:bCs/>
                <w:i/>
                <w:iCs/>
                <w:sz w:val="32"/>
                <w:szCs w:val="32"/>
              </w:rPr>
            </w:pPr>
            <w:r w:rsidRPr="00FA1A5F">
              <w:rPr>
                <w:rFonts w:cs="Arial"/>
                <w:b/>
                <w:bCs/>
                <w:i/>
                <w:iCs/>
                <w:sz w:val="32"/>
                <w:szCs w:val="32"/>
              </w:rPr>
              <w:t>Notes</w:t>
            </w:r>
          </w:p>
        </w:tc>
      </w:tr>
      <w:tr w:rsidR="00102C93" w:rsidRPr="00873278" w14:paraId="31C4D7D0" w14:textId="0CB19349" w:rsidTr="0062641C">
        <w:trPr>
          <w:cnfStyle w:val="000000010000" w:firstRow="0" w:lastRow="0" w:firstColumn="0" w:lastColumn="0" w:oddVBand="0" w:evenVBand="0" w:oddHBand="0" w:evenHBand="1" w:firstRowFirstColumn="0" w:firstRowLastColumn="0" w:lastRowFirstColumn="0" w:lastRowLastColumn="0"/>
          <w:trHeight w:val="755"/>
        </w:trPr>
        <w:tc>
          <w:tcPr>
            <w:tcW w:w="2520" w:type="dxa"/>
            <w:vAlign w:val="top"/>
          </w:tcPr>
          <w:p w14:paraId="111A01BA" w14:textId="61E8A817" w:rsidR="00102C93" w:rsidRPr="00873278" w:rsidRDefault="00102C93" w:rsidP="00873278">
            <w:pPr>
              <w:rPr>
                <w:rFonts w:eastAsia="SimSun" w:cs="Arial"/>
                <w:b/>
                <w:bCs/>
                <w:caps/>
                <w:spacing w:val="6"/>
                <w:sz w:val="24"/>
                <w:szCs w:val="24"/>
              </w:rPr>
            </w:pPr>
            <w:r w:rsidRPr="00873278">
              <w:rPr>
                <w:rFonts w:cs="Arial"/>
                <w:iCs/>
              </w:rPr>
              <w:t>Welcome and agenda review</w:t>
            </w:r>
          </w:p>
        </w:tc>
        <w:tc>
          <w:tcPr>
            <w:tcW w:w="1800" w:type="dxa"/>
            <w:vAlign w:val="top"/>
          </w:tcPr>
          <w:p w14:paraId="5E3BA8BA" w14:textId="5DB03D91" w:rsidR="00102C93" w:rsidRPr="00873278" w:rsidRDefault="0034053F" w:rsidP="00873278">
            <w:pPr>
              <w:rPr>
                <w:rFonts w:cs="Arial"/>
                <w:iCs/>
              </w:rPr>
            </w:pPr>
            <w:r>
              <w:rPr>
                <w:rFonts w:cs="Arial"/>
                <w:iCs/>
              </w:rPr>
              <w:t xml:space="preserve">Megan Hawkes and </w:t>
            </w:r>
            <w:r w:rsidR="00102C93" w:rsidRPr="00873278">
              <w:rPr>
                <w:rFonts w:cs="Arial"/>
                <w:iCs/>
              </w:rPr>
              <w:t>Liz Walker</w:t>
            </w:r>
          </w:p>
        </w:tc>
        <w:tc>
          <w:tcPr>
            <w:tcW w:w="5220" w:type="dxa"/>
            <w:vAlign w:val="top"/>
          </w:tcPr>
          <w:p w14:paraId="136C1C88" w14:textId="77777777" w:rsidR="00102C93" w:rsidRPr="00873278" w:rsidRDefault="00102C93" w:rsidP="00873278">
            <w:pPr>
              <w:rPr>
                <w:rFonts w:eastAsia="SimSun" w:cs="Arial"/>
                <w:b/>
                <w:bCs/>
                <w:caps/>
                <w:spacing w:val="6"/>
                <w:sz w:val="24"/>
                <w:szCs w:val="24"/>
              </w:rPr>
            </w:pPr>
          </w:p>
        </w:tc>
      </w:tr>
      <w:tr w:rsidR="00102C93" w:rsidRPr="00873278" w14:paraId="383E3EBD" w14:textId="3C05D555" w:rsidTr="0062641C">
        <w:trPr>
          <w:cnfStyle w:val="000000100000" w:firstRow="0" w:lastRow="0" w:firstColumn="0" w:lastColumn="0" w:oddVBand="0" w:evenVBand="0" w:oddHBand="1" w:evenHBand="0" w:firstRowFirstColumn="0" w:firstRowLastColumn="0" w:lastRowFirstColumn="0" w:lastRowLastColumn="0"/>
          <w:trHeight w:val="755"/>
        </w:trPr>
        <w:tc>
          <w:tcPr>
            <w:tcW w:w="2520" w:type="dxa"/>
            <w:vAlign w:val="top"/>
          </w:tcPr>
          <w:p w14:paraId="26FA6503" w14:textId="01E78143" w:rsidR="00102C93" w:rsidRPr="00873278" w:rsidRDefault="00102C93" w:rsidP="00873278">
            <w:pPr>
              <w:rPr>
                <w:rFonts w:cs="Arial"/>
                <w:iCs/>
              </w:rPr>
            </w:pPr>
            <w:r w:rsidRPr="00873278">
              <w:rPr>
                <w:rFonts w:cs="Arial"/>
                <w:iCs/>
              </w:rPr>
              <w:t>SIG participant updates on upcoming: evaluation conferences, listservs, events, presentations, webinars, etc.</w:t>
            </w:r>
          </w:p>
        </w:tc>
        <w:tc>
          <w:tcPr>
            <w:tcW w:w="1800" w:type="dxa"/>
            <w:vAlign w:val="top"/>
          </w:tcPr>
          <w:p w14:paraId="6F01EF17" w14:textId="330408DD" w:rsidR="00102C93" w:rsidRPr="00873278" w:rsidRDefault="00102C93" w:rsidP="00873278">
            <w:pPr>
              <w:rPr>
                <w:rFonts w:cs="Arial"/>
                <w:iCs/>
              </w:rPr>
            </w:pPr>
            <w:r w:rsidRPr="00873278">
              <w:rPr>
                <w:rFonts w:cs="Arial"/>
                <w:iCs/>
              </w:rPr>
              <w:t xml:space="preserve">Group </w:t>
            </w:r>
          </w:p>
        </w:tc>
        <w:tc>
          <w:tcPr>
            <w:tcW w:w="5220" w:type="dxa"/>
            <w:vAlign w:val="top"/>
          </w:tcPr>
          <w:p w14:paraId="26C0A7A3" w14:textId="77777777" w:rsidR="007B49AE" w:rsidRDefault="007B49AE" w:rsidP="007B49AE">
            <w:pPr>
              <w:pStyle w:val="ListParagraph"/>
              <w:numPr>
                <w:ilvl w:val="0"/>
                <w:numId w:val="12"/>
              </w:numPr>
              <w:rPr>
                <w:rFonts w:cs="Arial"/>
                <w:iCs/>
              </w:rPr>
            </w:pPr>
            <w:r w:rsidRPr="007B49AE">
              <w:rPr>
                <w:rFonts w:cs="Arial"/>
                <w:iCs/>
              </w:rPr>
              <w:t>The New England PTTC is partnering with the Northwest</w:t>
            </w:r>
            <w:r w:rsidR="00B07A01" w:rsidRPr="007B49AE">
              <w:rPr>
                <w:rFonts w:cs="Arial"/>
                <w:iCs/>
              </w:rPr>
              <w:t xml:space="preserve"> PTTC on a presentation about evaluation at the virtual NPN conference in August. </w:t>
            </w:r>
          </w:p>
          <w:p w14:paraId="46D5E37D" w14:textId="59CCD35E" w:rsidR="00102C93" w:rsidRPr="007B49AE" w:rsidRDefault="007B49AE" w:rsidP="007B49AE">
            <w:pPr>
              <w:pStyle w:val="ListParagraph"/>
              <w:numPr>
                <w:ilvl w:val="0"/>
                <w:numId w:val="12"/>
              </w:numPr>
              <w:rPr>
                <w:rFonts w:cs="Arial"/>
                <w:iCs/>
              </w:rPr>
            </w:pPr>
            <w:r w:rsidRPr="007B49AE">
              <w:rPr>
                <w:rFonts w:cs="Arial"/>
                <w:iCs/>
              </w:rPr>
              <w:t xml:space="preserve">The Great Lakes and Pacific Southwest </w:t>
            </w:r>
            <w:r w:rsidR="00B07A01" w:rsidRPr="007B49AE">
              <w:rPr>
                <w:rFonts w:cs="Arial"/>
                <w:iCs/>
              </w:rPr>
              <w:t>PTTC</w:t>
            </w:r>
            <w:r w:rsidRPr="007B49AE">
              <w:rPr>
                <w:rFonts w:cs="Arial"/>
                <w:iCs/>
              </w:rPr>
              <w:t>s</w:t>
            </w:r>
            <w:r w:rsidR="00B07A01" w:rsidRPr="007B49AE">
              <w:rPr>
                <w:rFonts w:cs="Arial"/>
                <w:iCs/>
              </w:rPr>
              <w:t xml:space="preserve"> are </w:t>
            </w:r>
            <w:r w:rsidRPr="007B49AE">
              <w:rPr>
                <w:rFonts w:cs="Arial"/>
                <w:iCs/>
              </w:rPr>
              <w:t xml:space="preserve">also </w:t>
            </w:r>
            <w:r w:rsidR="00B07A01" w:rsidRPr="007B49AE">
              <w:rPr>
                <w:rFonts w:cs="Arial"/>
                <w:iCs/>
              </w:rPr>
              <w:t xml:space="preserve">partnering on a </w:t>
            </w:r>
            <w:r w:rsidRPr="007B49AE">
              <w:rPr>
                <w:rFonts w:cs="Arial"/>
                <w:iCs/>
              </w:rPr>
              <w:t>presentation</w:t>
            </w:r>
            <w:r w:rsidR="00B07A01" w:rsidRPr="007B49AE">
              <w:rPr>
                <w:rFonts w:cs="Arial"/>
                <w:iCs/>
              </w:rPr>
              <w:t xml:space="preserve"> for the vir</w:t>
            </w:r>
            <w:r w:rsidRPr="007B49AE">
              <w:rPr>
                <w:rFonts w:cs="Arial"/>
                <w:iCs/>
              </w:rPr>
              <w:t>tual NPN</w:t>
            </w:r>
            <w:r w:rsidR="002C604C">
              <w:rPr>
                <w:rFonts w:cs="Arial"/>
                <w:iCs/>
              </w:rPr>
              <w:t xml:space="preserve"> conference</w:t>
            </w:r>
            <w:r w:rsidR="00B07A01" w:rsidRPr="007B49AE">
              <w:rPr>
                <w:rFonts w:cs="Arial"/>
                <w:iCs/>
              </w:rPr>
              <w:t xml:space="preserve">. </w:t>
            </w:r>
          </w:p>
        </w:tc>
      </w:tr>
      <w:tr w:rsidR="00102C93" w:rsidRPr="00873278" w14:paraId="1461FCB1" w14:textId="77777777" w:rsidTr="0062641C">
        <w:trPr>
          <w:cnfStyle w:val="000000010000" w:firstRow="0" w:lastRow="0" w:firstColumn="0" w:lastColumn="0" w:oddVBand="0" w:evenVBand="0" w:oddHBand="0" w:evenHBand="1" w:firstRowFirstColumn="0" w:firstRowLastColumn="0" w:lastRowFirstColumn="0" w:lastRowLastColumn="0"/>
          <w:trHeight w:val="755"/>
        </w:trPr>
        <w:tc>
          <w:tcPr>
            <w:tcW w:w="2520" w:type="dxa"/>
            <w:vAlign w:val="top"/>
          </w:tcPr>
          <w:p w14:paraId="68F0A8C7" w14:textId="706F3E79" w:rsidR="00102C93" w:rsidRPr="00873278" w:rsidRDefault="0034053F" w:rsidP="00873278">
            <w:pPr>
              <w:rPr>
                <w:rFonts w:cs="Arial"/>
                <w:iCs/>
              </w:rPr>
            </w:pPr>
            <w:r>
              <w:rPr>
                <w:rFonts w:cs="Arial"/>
                <w:iCs/>
              </w:rPr>
              <w:t>GPRA Discussion for Series</w:t>
            </w:r>
          </w:p>
        </w:tc>
        <w:tc>
          <w:tcPr>
            <w:tcW w:w="1800" w:type="dxa"/>
            <w:vAlign w:val="top"/>
          </w:tcPr>
          <w:p w14:paraId="7387DC4A" w14:textId="5C746B25" w:rsidR="00102C93" w:rsidRPr="00873278" w:rsidRDefault="00B07A01" w:rsidP="00873278">
            <w:pPr>
              <w:rPr>
                <w:rFonts w:cs="Arial"/>
                <w:iCs/>
              </w:rPr>
            </w:pPr>
            <w:r>
              <w:rPr>
                <w:rFonts w:cs="Arial"/>
                <w:iCs/>
              </w:rPr>
              <w:t>Heather Gotham</w:t>
            </w:r>
            <w:r w:rsidR="00102C93" w:rsidRPr="00873278">
              <w:rPr>
                <w:rFonts w:cs="Arial"/>
                <w:iCs/>
              </w:rPr>
              <w:t xml:space="preserve"> </w:t>
            </w:r>
          </w:p>
        </w:tc>
        <w:tc>
          <w:tcPr>
            <w:tcW w:w="5220" w:type="dxa"/>
            <w:vAlign w:val="top"/>
          </w:tcPr>
          <w:p w14:paraId="1663A76F" w14:textId="036B4D3C" w:rsidR="009B31BC" w:rsidRDefault="00B07A01" w:rsidP="00E41196">
            <w:pPr>
              <w:rPr>
                <w:rFonts w:cs="Arial"/>
                <w:iCs/>
              </w:rPr>
            </w:pPr>
            <w:r>
              <w:rPr>
                <w:rFonts w:cs="Arial"/>
                <w:iCs/>
              </w:rPr>
              <w:t>GPRA for event series:</w:t>
            </w:r>
          </w:p>
          <w:p w14:paraId="467EACAC" w14:textId="470C0FC9" w:rsidR="00B07A01" w:rsidRDefault="00A51FB4" w:rsidP="00B07A01">
            <w:pPr>
              <w:pStyle w:val="ListParagraph"/>
              <w:numPr>
                <w:ilvl w:val="0"/>
                <w:numId w:val="9"/>
              </w:numPr>
              <w:rPr>
                <w:rFonts w:cs="Arial"/>
                <w:iCs/>
              </w:rPr>
            </w:pPr>
            <w:r>
              <w:rPr>
                <w:rFonts w:cs="Arial"/>
                <w:iCs/>
              </w:rPr>
              <w:t>Would like to get feedback from this</w:t>
            </w:r>
            <w:r w:rsidR="00B07A01">
              <w:rPr>
                <w:rFonts w:cs="Arial"/>
                <w:iCs/>
              </w:rPr>
              <w:t xml:space="preserve"> group about </w:t>
            </w:r>
            <w:r>
              <w:rPr>
                <w:rFonts w:cs="Arial"/>
                <w:iCs/>
              </w:rPr>
              <w:t>GPRA’ing closed group scenarios to help determine consistent guidelines</w:t>
            </w:r>
            <w:r w:rsidR="00B07A01">
              <w:rPr>
                <w:rFonts w:cs="Arial"/>
                <w:iCs/>
              </w:rPr>
              <w:t xml:space="preserve"> across the TTCs. </w:t>
            </w:r>
          </w:p>
          <w:p w14:paraId="390266B4" w14:textId="6FCE9E8A" w:rsidR="00B07A01" w:rsidRPr="00B07A01" w:rsidRDefault="00A51FB4" w:rsidP="00B07A01">
            <w:pPr>
              <w:pStyle w:val="ListParagraph"/>
              <w:numPr>
                <w:ilvl w:val="0"/>
                <w:numId w:val="9"/>
              </w:numPr>
              <w:rPr>
                <w:rFonts w:cs="Arial"/>
                <w:iCs/>
              </w:rPr>
            </w:pPr>
            <w:r>
              <w:rPr>
                <w:rFonts w:cs="Arial"/>
                <w:iCs/>
              </w:rPr>
              <w:t>There are i</w:t>
            </w:r>
            <w:r w:rsidR="00B07A01">
              <w:rPr>
                <w:rFonts w:cs="Arial"/>
                <w:iCs/>
              </w:rPr>
              <w:t>mplications for participant numbers and event numbers</w:t>
            </w:r>
            <w:r>
              <w:rPr>
                <w:rFonts w:cs="Arial"/>
                <w:iCs/>
              </w:rPr>
              <w:t xml:space="preserve"> to consider</w:t>
            </w:r>
            <w:r w:rsidR="00B07A01">
              <w:rPr>
                <w:rFonts w:cs="Arial"/>
                <w:iCs/>
              </w:rPr>
              <w:t xml:space="preserve">. For example, does a 5-part </w:t>
            </w:r>
            <w:r w:rsidR="00EC4772">
              <w:rPr>
                <w:rFonts w:cs="Arial"/>
                <w:iCs/>
              </w:rPr>
              <w:t xml:space="preserve">closed series count as 1 </w:t>
            </w:r>
            <w:r w:rsidR="00B07A01">
              <w:rPr>
                <w:rFonts w:cs="Arial"/>
                <w:iCs/>
              </w:rPr>
              <w:t xml:space="preserve">event or </w:t>
            </w:r>
            <w:r>
              <w:rPr>
                <w:rFonts w:cs="Arial"/>
                <w:iCs/>
              </w:rPr>
              <w:t>5 events?</w:t>
            </w:r>
            <w:r w:rsidR="00B07A01">
              <w:rPr>
                <w:rFonts w:cs="Arial"/>
                <w:iCs/>
              </w:rPr>
              <w:t xml:space="preserve"> </w:t>
            </w:r>
          </w:p>
          <w:p w14:paraId="12FF9BD9" w14:textId="7D42BF30" w:rsidR="009B31BC" w:rsidRDefault="00B36F8B" w:rsidP="00E41196">
            <w:pPr>
              <w:rPr>
                <w:rFonts w:cs="Arial"/>
                <w:iCs/>
              </w:rPr>
            </w:pPr>
            <w:r>
              <w:rPr>
                <w:rFonts w:cs="Arial"/>
                <w:iCs/>
              </w:rPr>
              <w:t xml:space="preserve">Group </w:t>
            </w:r>
            <w:r w:rsidR="009B31BC">
              <w:rPr>
                <w:rFonts w:cs="Arial"/>
                <w:iCs/>
              </w:rPr>
              <w:t>Discussion:</w:t>
            </w:r>
          </w:p>
          <w:p w14:paraId="18B37BA1" w14:textId="74D671A2" w:rsidR="009B31BC" w:rsidRDefault="00B07A01" w:rsidP="009B31BC">
            <w:pPr>
              <w:pStyle w:val="ListParagraph"/>
              <w:numPr>
                <w:ilvl w:val="0"/>
                <w:numId w:val="6"/>
              </w:numPr>
              <w:rPr>
                <w:rFonts w:cs="Arial"/>
                <w:iCs/>
              </w:rPr>
            </w:pPr>
            <w:r>
              <w:rPr>
                <w:rFonts w:cs="Arial"/>
                <w:iCs/>
              </w:rPr>
              <w:t>Data should reflect effort and time spent.</w:t>
            </w:r>
          </w:p>
          <w:p w14:paraId="0F1F2B4A" w14:textId="69B960F2" w:rsidR="00B07A01" w:rsidRDefault="00EC4772" w:rsidP="009B31BC">
            <w:pPr>
              <w:pStyle w:val="ListParagraph"/>
              <w:numPr>
                <w:ilvl w:val="0"/>
                <w:numId w:val="6"/>
              </w:numPr>
              <w:rPr>
                <w:rFonts w:cs="Arial"/>
                <w:iCs/>
              </w:rPr>
            </w:pPr>
            <w:r>
              <w:rPr>
                <w:rFonts w:cs="Arial"/>
                <w:iCs/>
              </w:rPr>
              <w:t>Concern about doing 1-time assessment for a</w:t>
            </w:r>
            <w:r w:rsidR="00B07A01">
              <w:rPr>
                <w:rFonts w:cs="Arial"/>
                <w:iCs/>
              </w:rPr>
              <w:t xml:space="preserve"> series because trainers can vary within the seri</w:t>
            </w:r>
            <w:r>
              <w:rPr>
                <w:rFonts w:cs="Arial"/>
                <w:iCs/>
              </w:rPr>
              <w:t>es. For example, one trainer can be used to conduct</w:t>
            </w:r>
            <w:r w:rsidR="00B07A01">
              <w:rPr>
                <w:rFonts w:cs="Arial"/>
                <w:iCs/>
              </w:rPr>
              <w:t xml:space="preserve"> part 1 and another trainer </w:t>
            </w:r>
            <w:r>
              <w:rPr>
                <w:rFonts w:cs="Arial"/>
                <w:iCs/>
              </w:rPr>
              <w:t>for part 2. Would like to capture separate feedback as a</w:t>
            </w:r>
            <w:r w:rsidR="00B07A01">
              <w:rPr>
                <w:rFonts w:cs="Arial"/>
                <w:iCs/>
              </w:rPr>
              <w:t xml:space="preserve">ttendees may have </w:t>
            </w:r>
            <w:r>
              <w:rPr>
                <w:rFonts w:cs="Arial"/>
                <w:iCs/>
              </w:rPr>
              <w:t xml:space="preserve">had </w:t>
            </w:r>
            <w:r w:rsidR="00B07A01">
              <w:rPr>
                <w:rFonts w:cs="Arial"/>
                <w:iCs/>
              </w:rPr>
              <w:t>different experiences with the trainers.</w:t>
            </w:r>
          </w:p>
          <w:p w14:paraId="15874144" w14:textId="7CF7FB16" w:rsidR="00B07A01" w:rsidRDefault="00EC4772" w:rsidP="009B31BC">
            <w:pPr>
              <w:pStyle w:val="ListParagraph"/>
              <w:numPr>
                <w:ilvl w:val="0"/>
                <w:numId w:val="6"/>
              </w:numPr>
              <w:rPr>
                <w:rFonts w:cs="Arial"/>
                <w:iCs/>
              </w:rPr>
            </w:pPr>
            <w:r>
              <w:rPr>
                <w:rFonts w:cs="Arial"/>
                <w:iCs/>
              </w:rPr>
              <w:t xml:space="preserve">Concern about doing 1-time assessment for a series because </w:t>
            </w:r>
            <w:r>
              <w:rPr>
                <w:rFonts w:cs="Arial"/>
                <w:iCs/>
              </w:rPr>
              <w:t xml:space="preserve">each session in that series may </w:t>
            </w:r>
            <w:r w:rsidR="00B07A01">
              <w:rPr>
                <w:rFonts w:cs="Arial"/>
                <w:iCs/>
              </w:rPr>
              <w:t xml:space="preserve">have different objectives. </w:t>
            </w:r>
          </w:p>
          <w:p w14:paraId="64D35C45" w14:textId="4F386360" w:rsidR="00B07A01" w:rsidRDefault="00EC4772" w:rsidP="009B31BC">
            <w:pPr>
              <w:pStyle w:val="ListParagraph"/>
              <w:numPr>
                <w:ilvl w:val="0"/>
                <w:numId w:val="6"/>
              </w:numPr>
              <w:rPr>
                <w:rFonts w:cs="Arial"/>
                <w:iCs/>
              </w:rPr>
            </w:pPr>
            <w:r>
              <w:rPr>
                <w:rFonts w:cs="Arial"/>
                <w:iCs/>
              </w:rPr>
              <w:t>F</w:t>
            </w:r>
            <w:r>
              <w:rPr>
                <w:rFonts w:cs="Arial"/>
                <w:iCs/>
              </w:rPr>
              <w:t xml:space="preserve">or </w:t>
            </w:r>
            <w:r>
              <w:rPr>
                <w:rFonts w:cs="Arial"/>
                <w:iCs/>
              </w:rPr>
              <w:t xml:space="preserve">website </w:t>
            </w:r>
            <w:r>
              <w:rPr>
                <w:rFonts w:cs="Arial"/>
                <w:iCs/>
              </w:rPr>
              <w:t>usability purposes</w:t>
            </w:r>
            <w:r>
              <w:rPr>
                <w:rFonts w:cs="Arial"/>
                <w:iCs/>
              </w:rPr>
              <w:t>, it makes sense</w:t>
            </w:r>
            <w:r>
              <w:rPr>
                <w:rFonts w:cs="Arial"/>
                <w:iCs/>
              </w:rPr>
              <w:t xml:space="preserve"> </w:t>
            </w:r>
            <w:r>
              <w:rPr>
                <w:rFonts w:cs="Arial"/>
                <w:iCs/>
              </w:rPr>
              <w:t xml:space="preserve">to </w:t>
            </w:r>
            <w:r w:rsidR="00B07A01">
              <w:rPr>
                <w:rFonts w:cs="Arial"/>
                <w:iCs/>
              </w:rPr>
              <w:t xml:space="preserve">add </w:t>
            </w:r>
            <w:r w:rsidR="006B7D26">
              <w:rPr>
                <w:rFonts w:cs="Arial"/>
                <w:iCs/>
              </w:rPr>
              <w:t xml:space="preserve">the series as </w:t>
            </w:r>
            <w:r w:rsidR="00B07A01">
              <w:rPr>
                <w:rFonts w:cs="Arial"/>
                <w:iCs/>
              </w:rPr>
              <w:t xml:space="preserve">one event </w:t>
            </w:r>
            <w:r w:rsidR="006B7D26">
              <w:rPr>
                <w:rFonts w:cs="Arial"/>
                <w:iCs/>
              </w:rPr>
              <w:t>to avoid website users from</w:t>
            </w:r>
            <w:r w:rsidR="00B07A01">
              <w:rPr>
                <w:rFonts w:cs="Arial"/>
                <w:iCs/>
              </w:rPr>
              <w:t xml:space="preserve"> going to separate pages </w:t>
            </w:r>
            <w:r w:rsidR="006B7D26">
              <w:rPr>
                <w:rFonts w:cs="Arial"/>
                <w:iCs/>
              </w:rPr>
              <w:t xml:space="preserve">to get information on a series. </w:t>
            </w:r>
          </w:p>
          <w:p w14:paraId="70FBE796" w14:textId="06E771B5" w:rsidR="00B07A01" w:rsidRDefault="00750D49" w:rsidP="009B31BC">
            <w:pPr>
              <w:pStyle w:val="ListParagraph"/>
              <w:numPr>
                <w:ilvl w:val="0"/>
                <w:numId w:val="6"/>
              </w:numPr>
              <w:rPr>
                <w:rFonts w:cs="Arial"/>
                <w:iCs/>
              </w:rPr>
            </w:pPr>
            <w:r>
              <w:rPr>
                <w:rFonts w:cs="Arial"/>
                <w:iCs/>
              </w:rPr>
              <w:lastRenderedPageBreak/>
              <w:t>For website usability purposes</w:t>
            </w:r>
            <w:r>
              <w:rPr>
                <w:rFonts w:cs="Arial"/>
                <w:iCs/>
              </w:rPr>
              <w:t xml:space="preserve"> and if trying to capture a series as one event, c</w:t>
            </w:r>
            <w:r w:rsidR="00B07A01">
              <w:rPr>
                <w:rFonts w:cs="Arial"/>
                <w:iCs/>
              </w:rPr>
              <w:t xml:space="preserve">an we add </w:t>
            </w:r>
            <w:r>
              <w:rPr>
                <w:rFonts w:cs="Arial"/>
                <w:iCs/>
              </w:rPr>
              <w:t xml:space="preserve">the option of noting </w:t>
            </w:r>
            <w:r w:rsidR="00B07A01">
              <w:rPr>
                <w:rFonts w:cs="Arial"/>
                <w:iCs/>
              </w:rPr>
              <w:t>multi</w:t>
            </w:r>
            <w:r>
              <w:rPr>
                <w:rFonts w:cs="Arial"/>
                <w:iCs/>
              </w:rPr>
              <w:t>ple dates for a series</w:t>
            </w:r>
            <w:r w:rsidR="00B07A01">
              <w:rPr>
                <w:rFonts w:cs="Arial"/>
                <w:iCs/>
              </w:rPr>
              <w:t>?</w:t>
            </w:r>
          </w:p>
          <w:p w14:paraId="4F27148A" w14:textId="44710461" w:rsidR="00102C93" w:rsidRDefault="00DA2B62" w:rsidP="009B31BC">
            <w:pPr>
              <w:pStyle w:val="ListParagraph"/>
              <w:numPr>
                <w:ilvl w:val="0"/>
                <w:numId w:val="6"/>
              </w:numPr>
              <w:rPr>
                <w:rFonts w:cs="Arial"/>
                <w:iCs/>
              </w:rPr>
            </w:pPr>
            <w:r>
              <w:rPr>
                <w:rFonts w:cs="Arial"/>
                <w:iCs/>
              </w:rPr>
              <w:t>A</w:t>
            </w:r>
            <w:r w:rsidR="00B07A01">
              <w:rPr>
                <w:rFonts w:cs="Arial"/>
                <w:iCs/>
              </w:rPr>
              <w:t xml:space="preserve"> survey </w:t>
            </w:r>
            <w:r w:rsidR="008F1B4A">
              <w:rPr>
                <w:rFonts w:cs="Arial"/>
                <w:iCs/>
              </w:rPr>
              <w:t xml:space="preserve">on this topic </w:t>
            </w:r>
            <w:r w:rsidR="00B07A01">
              <w:rPr>
                <w:rFonts w:cs="Arial"/>
                <w:iCs/>
              </w:rPr>
              <w:t>(</w:t>
            </w:r>
            <w:hyperlink r:id="rId12" w:history="1">
              <w:r w:rsidR="00B07A01">
                <w:rPr>
                  <w:rStyle w:val="Hyperlink"/>
                </w:rPr>
                <w:t>https://docs.google.com/forms/d/e/1FAIpQLSe2lKgGoOR5w9OmXWC0CVNpOZPh8VNxk7RgOkKX-HGZx-d2aw/viewform</w:t>
              </w:r>
            </w:hyperlink>
            <w:r w:rsidR="00B07A01">
              <w:rPr>
                <w:rFonts w:cs="Arial"/>
                <w:iCs/>
              </w:rPr>
              <w:t xml:space="preserve">) </w:t>
            </w:r>
            <w:r>
              <w:rPr>
                <w:rFonts w:cs="Arial"/>
                <w:iCs/>
              </w:rPr>
              <w:t xml:space="preserve">was </w:t>
            </w:r>
            <w:r w:rsidR="00B07A01">
              <w:rPr>
                <w:rFonts w:cs="Arial"/>
                <w:iCs/>
              </w:rPr>
              <w:t xml:space="preserve">sent to the group </w:t>
            </w:r>
            <w:r w:rsidR="00F0552F">
              <w:rPr>
                <w:rFonts w:cs="Arial"/>
                <w:iCs/>
              </w:rPr>
              <w:t>a fe</w:t>
            </w:r>
            <w:r w:rsidR="008F1B4A">
              <w:rPr>
                <w:rFonts w:cs="Arial"/>
                <w:iCs/>
              </w:rPr>
              <w:t>w weeks ago</w:t>
            </w:r>
            <w:r w:rsidR="00F0552F">
              <w:rPr>
                <w:rFonts w:cs="Arial"/>
                <w:iCs/>
              </w:rPr>
              <w:t>.</w:t>
            </w:r>
            <w:r w:rsidR="00B07A01">
              <w:rPr>
                <w:rFonts w:cs="Arial"/>
                <w:iCs/>
              </w:rPr>
              <w:t xml:space="preserve"> 14 people responded with </w:t>
            </w:r>
            <w:r w:rsidR="008F1B4A">
              <w:rPr>
                <w:rFonts w:cs="Arial"/>
                <w:iCs/>
              </w:rPr>
              <w:t>responses varying. However, the majority suggested</w:t>
            </w:r>
            <w:r w:rsidR="00B07A01">
              <w:rPr>
                <w:rFonts w:cs="Arial"/>
                <w:iCs/>
              </w:rPr>
              <w:t xml:space="preserve"> that GPRAs for </w:t>
            </w:r>
            <w:r w:rsidR="002A4C7E">
              <w:rPr>
                <w:rFonts w:cs="Arial"/>
                <w:iCs/>
              </w:rPr>
              <w:t xml:space="preserve">such </w:t>
            </w:r>
            <w:r w:rsidR="008F1B4A">
              <w:rPr>
                <w:rFonts w:cs="Arial"/>
                <w:iCs/>
              </w:rPr>
              <w:t xml:space="preserve">series be counted as </w:t>
            </w:r>
            <w:r w:rsidR="00B07A01">
              <w:rPr>
                <w:rFonts w:cs="Arial"/>
                <w:iCs/>
              </w:rPr>
              <w:t>one</w:t>
            </w:r>
            <w:r w:rsidR="008F1B4A">
              <w:rPr>
                <w:rFonts w:cs="Arial"/>
                <w:iCs/>
              </w:rPr>
              <w:t xml:space="preserve"> event</w:t>
            </w:r>
            <w:r w:rsidR="00B07A01">
              <w:rPr>
                <w:rFonts w:cs="Arial"/>
                <w:iCs/>
              </w:rPr>
              <w:t xml:space="preserve">. </w:t>
            </w:r>
          </w:p>
          <w:p w14:paraId="5F7A1F50" w14:textId="0C1A948E" w:rsidR="00B07A01" w:rsidRDefault="002A4C7E" w:rsidP="009B31BC">
            <w:pPr>
              <w:pStyle w:val="ListParagraph"/>
              <w:numPr>
                <w:ilvl w:val="0"/>
                <w:numId w:val="6"/>
              </w:numPr>
              <w:rPr>
                <w:rFonts w:cs="Arial"/>
                <w:iCs/>
              </w:rPr>
            </w:pPr>
            <w:r>
              <w:rPr>
                <w:rFonts w:cs="Arial"/>
                <w:iCs/>
              </w:rPr>
              <w:t xml:space="preserve">Concern not to exceed </w:t>
            </w:r>
            <w:r w:rsidR="00B07A01">
              <w:rPr>
                <w:rFonts w:cs="Arial"/>
                <w:iCs/>
              </w:rPr>
              <w:t>G</w:t>
            </w:r>
            <w:r>
              <w:rPr>
                <w:rFonts w:cs="Arial"/>
                <w:iCs/>
              </w:rPr>
              <w:t>PRA targets too</w:t>
            </w:r>
            <w:r w:rsidR="00B07A01">
              <w:rPr>
                <w:rFonts w:cs="Arial"/>
                <w:iCs/>
              </w:rPr>
              <w:t xml:space="preserve"> much as it gives off a certain perception with implications for future funding (“Oh, look at how much the TTCs are doing with x amount of funding!”)</w:t>
            </w:r>
          </w:p>
          <w:p w14:paraId="7167C365" w14:textId="67580CC5" w:rsidR="00C20B12" w:rsidRDefault="002A4C7E" w:rsidP="009B31BC">
            <w:pPr>
              <w:pStyle w:val="ListParagraph"/>
              <w:numPr>
                <w:ilvl w:val="0"/>
                <w:numId w:val="6"/>
              </w:numPr>
              <w:rPr>
                <w:rFonts w:cs="Arial"/>
                <w:iCs/>
              </w:rPr>
            </w:pPr>
            <w:r>
              <w:rPr>
                <w:rFonts w:cs="Arial"/>
                <w:iCs/>
              </w:rPr>
              <w:t>Seems the issue of GPRA’ing series c</w:t>
            </w:r>
            <w:r w:rsidR="00C20B12">
              <w:rPr>
                <w:rFonts w:cs="Arial"/>
                <w:iCs/>
              </w:rPr>
              <w:t>an’</w:t>
            </w:r>
            <w:r>
              <w:rPr>
                <w:rFonts w:cs="Arial"/>
                <w:iCs/>
              </w:rPr>
              <w:t>t be</w:t>
            </w:r>
            <w:r w:rsidR="00C20B12">
              <w:rPr>
                <w:rFonts w:cs="Arial"/>
                <w:iCs/>
              </w:rPr>
              <w:t xml:space="preserve"> a o</w:t>
            </w:r>
            <w:r>
              <w:rPr>
                <w:rFonts w:cs="Arial"/>
                <w:iCs/>
              </w:rPr>
              <w:t>ne-size-fits-all. Perhaps</w:t>
            </w:r>
            <w:r w:rsidR="00C20B12">
              <w:rPr>
                <w:rFonts w:cs="Arial"/>
                <w:iCs/>
              </w:rPr>
              <w:t xml:space="preserve"> a decision tree that </w:t>
            </w:r>
            <w:r>
              <w:rPr>
                <w:rFonts w:cs="Arial"/>
                <w:iCs/>
              </w:rPr>
              <w:t xml:space="preserve">the  </w:t>
            </w:r>
            <w:r w:rsidR="00C20B12">
              <w:rPr>
                <w:rFonts w:cs="Arial"/>
                <w:iCs/>
              </w:rPr>
              <w:t>TTCs can use</w:t>
            </w:r>
            <w:r>
              <w:rPr>
                <w:rFonts w:cs="Arial"/>
                <w:iCs/>
              </w:rPr>
              <w:t xml:space="preserve"> should be created</w:t>
            </w:r>
            <w:r w:rsidR="00E208D7">
              <w:rPr>
                <w:rFonts w:cs="Arial"/>
                <w:iCs/>
              </w:rPr>
              <w:t xml:space="preserve"> around this</w:t>
            </w:r>
            <w:r>
              <w:rPr>
                <w:rFonts w:cs="Arial"/>
                <w:iCs/>
              </w:rPr>
              <w:t>.</w:t>
            </w:r>
          </w:p>
          <w:p w14:paraId="2E29CB1E" w14:textId="4EEC88E8" w:rsidR="00C20B12" w:rsidRPr="009B31BC" w:rsidRDefault="00C20B12" w:rsidP="009B31BC">
            <w:pPr>
              <w:pStyle w:val="ListParagraph"/>
              <w:numPr>
                <w:ilvl w:val="0"/>
                <w:numId w:val="6"/>
              </w:numPr>
              <w:rPr>
                <w:rFonts w:cs="Arial"/>
                <w:iCs/>
              </w:rPr>
            </w:pPr>
            <w:r>
              <w:rPr>
                <w:rFonts w:cs="Arial"/>
                <w:iCs/>
              </w:rPr>
              <w:t xml:space="preserve">Next steps: If you didn’t get a chance to complete the survey prior to today, please do so. The survey results will go back to the NCOs and the chairs of this group to review and come up with some guidance. </w:t>
            </w:r>
          </w:p>
        </w:tc>
      </w:tr>
      <w:tr w:rsidR="00102C93" w:rsidRPr="00873278" w14:paraId="45C3BB41" w14:textId="77777777" w:rsidTr="0062641C">
        <w:trPr>
          <w:cnfStyle w:val="000000100000" w:firstRow="0" w:lastRow="0" w:firstColumn="0" w:lastColumn="0" w:oddVBand="0" w:evenVBand="0" w:oddHBand="1" w:evenHBand="0" w:firstRowFirstColumn="0" w:firstRowLastColumn="0" w:lastRowFirstColumn="0" w:lastRowLastColumn="0"/>
          <w:trHeight w:val="755"/>
        </w:trPr>
        <w:tc>
          <w:tcPr>
            <w:tcW w:w="2520" w:type="dxa"/>
            <w:vAlign w:val="top"/>
          </w:tcPr>
          <w:p w14:paraId="1D64E39F" w14:textId="291FD0B1" w:rsidR="00102C93" w:rsidRPr="00E208D7" w:rsidRDefault="00102C93" w:rsidP="0034053F">
            <w:pPr>
              <w:rPr>
                <w:rFonts w:cs="Arial"/>
                <w:iCs/>
              </w:rPr>
            </w:pPr>
            <w:r w:rsidRPr="00E208D7">
              <w:rPr>
                <w:rFonts w:cs="Arial"/>
                <w:bCs/>
                <w:iCs/>
              </w:rPr>
              <w:lastRenderedPageBreak/>
              <w:t>Spotlight</w:t>
            </w:r>
            <w:r w:rsidRPr="00E208D7">
              <w:rPr>
                <w:rFonts w:cs="Arial"/>
                <w:iCs/>
              </w:rPr>
              <w:t xml:space="preserve"> </w:t>
            </w:r>
            <w:r w:rsidR="0034053F" w:rsidRPr="00E208D7">
              <w:rPr>
                <w:rFonts w:cs="Arial"/>
                <w:iCs/>
              </w:rPr>
              <w:t xml:space="preserve">Panel Discussion Cultural </w:t>
            </w:r>
            <w:r w:rsidR="00E208D7" w:rsidRPr="00E208D7">
              <w:rPr>
                <w:rFonts w:cs="Arial"/>
                <w:iCs/>
              </w:rPr>
              <w:t>Competence</w:t>
            </w:r>
            <w:r w:rsidR="0034053F" w:rsidRPr="00E208D7">
              <w:rPr>
                <w:rFonts w:cs="Arial"/>
                <w:iCs/>
              </w:rPr>
              <w:t xml:space="preserve"> in TTC Evaluation </w:t>
            </w:r>
          </w:p>
        </w:tc>
        <w:tc>
          <w:tcPr>
            <w:tcW w:w="1800" w:type="dxa"/>
            <w:vAlign w:val="top"/>
          </w:tcPr>
          <w:p w14:paraId="427D1025" w14:textId="42C95930" w:rsidR="00102C93" w:rsidRPr="00873278" w:rsidRDefault="00AB0166" w:rsidP="00B36F8B">
            <w:pPr>
              <w:rPr>
                <w:rFonts w:cs="Arial"/>
                <w:iCs/>
              </w:rPr>
            </w:pPr>
            <w:r>
              <w:rPr>
                <w:rFonts w:cs="Arial"/>
                <w:iCs/>
              </w:rPr>
              <w:t>Richard Cervantes</w:t>
            </w:r>
            <w:r w:rsidR="0034053F">
              <w:rPr>
                <w:rFonts w:cs="Arial"/>
                <w:iCs/>
              </w:rPr>
              <w:t xml:space="preserve"> (National Hispanic and Latino ATTC and PTTC), Rachele Espiritu (Pacific Southwest MHTCC), and Teresa Brewington (National American </w:t>
            </w:r>
            <w:r w:rsidR="00E208D7">
              <w:rPr>
                <w:rFonts w:cs="Arial"/>
                <w:iCs/>
              </w:rPr>
              <w:t>Indian and Alaska Native MHTTC)</w:t>
            </w:r>
          </w:p>
        </w:tc>
        <w:tc>
          <w:tcPr>
            <w:tcW w:w="5220" w:type="dxa"/>
            <w:vAlign w:val="top"/>
          </w:tcPr>
          <w:p w14:paraId="1D32F5E5" w14:textId="6083422E" w:rsidR="0034053F" w:rsidRDefault="0034053F" w:rsidP="00873278">
            <w:pPr>
              <w:rPr>
                <w:rFonts w:cs="Arial"/>
                <w:iCs/>
              </w:rPr>
            </w:pPr>
            <w:r>
              <w:rPr>
                <w:rFonts w:cs="Arial"/>
                <w:iCs/>
              </w:rPr>
              <w:t>Introduction:</w:t>
            </w:r>
          </w:p>
          <w:p w14:paraId="47FB070C" w14:textId="77777777" w:rsidR="0034053F" w:rsidRDefault="0034053F" w:rsidP="0034053F">
            <w:pPr>
              <w:pStyle w:val="ListParagraph"/>
              <w:numPr>
                <w:ilvl w:val="0"/>
                <w:numId w:val="7"/>
              </w:numPr>
              <w:rPr>
                <w:rFonts w:cs="Arial"/>
                <w:iCs/>
              </w:rPr>
            </w:pPr>
            <w:r>
              <w:rPr>
                <w:rFonts w:cs="Arial"/>
                <w:iCs/>
              </w:rPr>
              <w:t xml:space="preserve">Megan Hawkes introduced the panelists for today who will be discussing how they integrate cultural competence in their </w:t>
            </w:r>
            <w:r>
              <w:rPr>
                <w:rFonts w:cs="Arial"/>
                <w:iCs/>
              </w:rPr>
              <w:t>TTC evaluations.</w:t>
            </w:r>
          </w:p>
          <w:p w14:paraId="268EB601" w14:textId="3B768C59" w:rsidR="0034053F" w:rsidRPr="0034053F" w:rsidRDefault="0034053F" w:rsidP="0034053F">
            <w:pPr>
              <w:pStyle w:val="ListParagraph"/>
              <w:numPr>
                <w:ilvl w:val="0"/>
                <w:numId w:val="7"/>
              </w:numPr>
              <w:rPr>
                <w:rFonts w:cs="Arial"/>
                <w:iCs/>
              </w:rPr>
            </w:pPr>
            <w:r w:rsidRPr="0034053F">
              <w:rPr>
                <w:rFonts w:cs="Arial"/>
                <w:iCs/>
              </w:rPr>
              <w:t>Panelists: Dr. Richard Cerv</w:t>
            </w:r>
            <w:r>
              <w:rPr>
                <w:rFonts w:cs="Arial"/>
                <w:iCs/>
              </w:rPr>
              <w:t>antes (N</w:t>
            </w:r>
            <w:r w:rsidRPr="0034053F">
              <w:rPr>
                <w:rFonts w:cs="Arial"/>
                <w:iCs/>
              </w:rPr>
              <w:t>ational Hisp</w:t>
            </w:r>
            <w:r>
              <w:rPr>
                <w:rFonts w:cs="Arial"/>
                <w:iCs/>
              </w:rPr>
              <w:t xml:space="preserve">anic and Latino ATTC and PTTC) and </w:t>
            </w:r>
            <w:r w:rsidR="00E208D7">
              <w:rPr>
                <w:rFonts w:cs="Arial"/>
                <w:iCs/>
              </w:rPr>
              <w:t xml:space="preserve">Dr. </w:t>
            </w:r>
            <w:r w:rsidRPr="0034053F">
              <w:rPr>
                <w:rFonts w:cs="Arial"/>
                <w:iCs/>
              </w:rPr>
              <w:t>Rachele Espiritu (Pacific Southwest MHTTC)</w:t>
            </w:r>
            <w:r>
              <w:rPr>
                <w:rFonts w:cs="Arial"/>
                <w:iCs/>
              </w:rPr>
              <w:t xml:space="preserve">. Teresa Brewington will be unable to join today due to a scheduling conflict. </w:t>
            </w:r>
          </w:p>
          <w:p w14:paraId="4E14F304" w14:textId="77777777" w:rsidR="0034053F" w:rsidRDefault="0034053F" w:rsidP="00873278">
            <w:pPr>
              <w:rPr>
                <w:rFonts w:cs="Arial"/>
                <w:iCs/>
              </w:rPr>
            </w:pPr>
          </w:p>
          <w:p w14:paraId="37972FEA" w14:textId="47100ECF" w:rsidR="00AB0166" w:rsidRDefault="00AB0166" w:rsidP="00873278">
            <w:pPr>
              <w:rPr>
                <w:rFonts w:cs="Arial"/>
                <w:iCs/>
              </w:rPr>
            </w:pPr>
            <w:r>
              <w:rPr>
                <w:rFonts w:cs="Arial"/>
                <w:iCs/>
              </w:rPr>
              <w:t>Presentation</w:t>
            </w:r>
            <w:r w:rsidR="006A3FF3">
              <w:rPr>
                <w:rFonts w:cs="Arial"/>
                <w:iCs/>
              </w:rPr>
              <w:t xml:space="preserve"> by Richard Cervantes</w:t>
            </w:r>
            <w:r>
              <w:rPr>
                <w:rFonts w:cs="Arial"/>
                <w:iCs/>
              </w:rPr>
              <w:t>:</w:t>
            </w:r>
          </w:p>
          <w:p w14:paraId="7C7B0BE8" w14:textId="595FF139" w:rsidR="00AB0166" w:rsidRDefault="006A3FF3" w:rsidP="00AB0166">
            <w:pPr>
              <w:pStyle w:val="ListParagraph"/>
              <w:numPr>
                <w:ilvl w:val="0"/>
                <w:numId w:val="10"/>
              </w:numPr>
              <w:rPr>
                <w:rFonts w:cs="Arial"/>
                <w:iCs/>
              </w:rPr>
            </w:pPr>
            <w:r>
              <w:rPr>
                <w:rFonts w:cs="Arial"/>
                <w:iCs/>
              </w:rPr>
              <w:t xml:space="preserve">In Year 1, </w:t>
            </w:r>
            <w:r w:rsidR="00855AA7">
              <w:rPr>
                <w:rFonts w:cs="Arial"/>
                <w:iCs/>
              </w:rPr>
              <w:t xml:space="preserve">they </w:t>
            </w:r>
            <w:r>
              <w:rPr>
                <w:rFonts w:cs="Arial"/>
                <w:iCs/>
              </w:rPr>
              <w:t xml:space="preserve">conducted a web-based survey with 389 Latino stakeholders. </w:t>
            </w:r>
          </w:p>
          <w:p w14:paraId="050697D3" w14:textId="3BDC4FCB" w:rsidR="006A3FF3" w:rsidRDefault="00E208D7" w:rsidP="00AB0166">
            <w:pPr>
              <w:pStyle w:val="ListParagraph"/>
              <w:numPr>
                <w:ilvl w:val="0"/>
                <w:numId w:val="10"/>
              </w:numPr>
              <w:rPr>
                <w:rFonts w:cs="Arial"/>
                <w:iCs/>
              </w:rPr>
            </w:pPr>
            <w:r>
              <w:rPr>
                <w:rFonts w:cs="Arial"/>
                <w:iCs/>
              </w:rPr>
              <w:t>Identified</w:t>
            </w:r>
            <w:r w:rsidR="006A3FF3">
              <w:rPr>
                <w:rFonts w:cs="Arial"/>
                <w:iCs/>
              </w:rPr>
              <w:t xml:space="preserve"> the most common topics and needs</w:t>
            </w:r>
            <w:r>
              <w:rPr>
                <w:rFonts w:cs="Arial"/>
                <w:iCs/>
              </w:rPr>
              <w:t>.</w:t>
            </w:r>
          </w:p>
          <w:p w14:paraId="5CD805D2" w14:textId="22603D78" w:rsidR="006A3FF3" w:rsidRDefault="006A3FF3" w:rsidP="00AB0166">
            <w:pPr>
              <w:pStyle w:val="ListParagraph"/>
              <w:numPr>
                <w:ilvl w:val="0"/>
                <w:numId w:val="10"/>
              </w:numPr>
              <w:rPr>
                <w:rFonts w:cs="Arial"/>
                <w:iCs/>
              </w:rPr>
            </w:pPr>
            <w:r>
              <w:rPr>
                <w:rFonts w:cs="Arial"/>
                <w:iCs/>
              </w:rPr>
              <w:t>Used the results of this survey to guide fu</w:t>
            </w:r>
            <w:r w:rsidR="00E208D7">
              <w:rPr>
                <w:rFonts w:cs="Arial"/>
                <w:iCs/>
              </w:rPr>
              <w:t>ture work</w:t>
            </w:r>
            <w:r>
              <w:rPr>
                <w:rFonts w:cs="Arial"/>
                <w:iCs/>
              </w:rPr>
              <w:t>plan activities at their TTCs.</w:t>
            </w:r>
          </w:p>
          <w:p w14:paraId="4FD26947" w14:textId="145A6F11" w:rsidR="006A3FF3" w:rsidRDefault="00E208D7" w:rsidP="00AB0166">
            <w:pPr>
              <w:pStyle w:val="ListParagraph"/>
              <w:numPr>
                <w:ilvl w:val="0"/>
                <w:numId w:val="10"/>
              </w:numPr>
              <w:rPr>
                <w:rFonts w:cs="Arial"/>
                <w:iCs/>
              </w:rPr>
            </w:pPr>
            <w:r>
              <w:rPr>
                <w:rFonts w:cs="Arial"/>
                <w:iCs/>
              </w:rPr>
              <w:t>O</w:t>
            </w:r>
            <w:r w:rsidR="006A3FF3">
              <w:rPr>
                <w:rFonts w:cs="Arial"/>
                <w:iCs/>
              </w:rPr>
              <w:t xml:space="preserve">ngoing strategies </w:t>
            </w:r>
            <w:r>
              <w:rPr>
                <w:rFonts w:cs="Arial"/>
                <w:iCs/>
              </w:rPr>
              <w:t>include</w:t>
            </w:r>
            <w:r w:rsidR="006A3FF3">
              <w:rPr>
                <w:rFonts w:cs="Arial"/>
                <w:iCs/>
              </w:rPr>
              <w:t xml:space="preserve"> recruiting presenters who have cultural experience, delivering</w:t>
            </w:r>
            <w:r>
              <w:rPr>
                <w:rFonts w:cs="Arial"/>
                <w:iCs/>
              </w:rPr>
              <w:t xml:space="preserve"> trainings</w:t>
            </w:r>
            <w:r w:rsidR="006A3FF3">
              <w:rPr>
                <w:rFonts w:cs="Arial"/>
                <w:iCs/>
              </w:rPr>
              <w:t xml:space="preserve"> in various languages, </w:t>
            </w:r>
            <w:r>
              <w:rPr>
                <w:rFonts w:cs="Arial"/>
                <w:iCs/>
              </w:rPr>
              <w:t xml:space="preserve">and </w:t>
            </w:r>
            <w:r w:rsidR="006A3FF3">
              <w:rPr>
                <w:rFonts w:cs="Arial"/>
                <w:iCs/>
              </w:rPr>
              <w:t>addressing the most common topics from the survey.</w:t>
            </w:r>
          </w:p>
          <w:p w14:paraId="26B1B1DD" w14:textId="2A4A50E4" w:rsidR="006A3FF3" w:rsidRDefault="00E208D7" w:rsidP="00AB0166">
            <w:pPr>
              <w:pStyle w:val="ListParagraph"/>
              <w:numPr>
                <w:ilvl w:val="0"/>
                <w:numId w:val="10"/>
              </w:numPr>
              <w:rPr>
                <w:rFonts w:cs="Arial"/>
                <w:iCs/>
              </w:rPr>
            </w:pPr>
            <w:r>
              <w:rPr>
                <w:rFonts w:cs="Arial"/>
                <w:iCs/>
              </w:rPr>
              <w:t>Added new questions following</w:t>
            </w:r>
            <w:r w:rsidR="006A3FF3">
              <w:rPr>
                <w:rFonts w:cs="Arial"/>
                <w:iCs/>
              </w:rPr>
              <w:t xml:space="preserve"> GPPRA</w:t>
            </w:r>
            <w:r>
              <w:rPr>
                <w:rFonts w:cs="Arial"/>
                <w:iCs/>
              </w:rPr>
              <w:t xml:space="preserve"> questions</w:t>
            </w:r>
            <w:r w:rsidR="006A3FF3">
              <w:rPr>
                <w:rFonts w:cs="Arial"/>
                <w:iCs/>
              </w:rPr>
              <w:t xml:space="preserve"> to identify emerging </w:t>
            </w:r>
            <w:r>
              <w:rPr>
                <w:rFonts w:cs="Arial"/>
                <w:iCs/>
              </w:rPr>
              <w:t>training</w:t>
            </w:r>
            <w:r w:rsidR="006A3FF3">
              <w:rPr>
                <w:rFonts w:cs="Arial"/>
                <w:iCs/>
              </w:rPr>
              <w:t xml:space="preserve"> needs, cultural practice considerations, and </w:t>
            </w:r>
            <w:r>
              <w:rPr>
                <w:rFonts w:cs="Arial"/>
                <w:iCs/>
              </w:rPr>
              <w:t>suggestions for</w:t>
            </w:r>
            <w:r w:rsidR="006A3FF3">
              <w:rPr>
                <w:rFonts w:cs="Arial"/>
                <w:iCs/>
              </w:rPr>
              <w:t xml:space="preserve"> improve</w:t>
            </w:r>
            <w:r>
              <w:rPr>
                <w:rFonts w:cs="Arial"/>
                <w:iCs/>
              </w:rPr>
              <w:t>ment.</w:t>
            </w:r>
          </w:p>
          <w:p w14:paraId="00194777" w14:textId="5B1C7C64" w:rsidR="006A3FF3" w:rsidRDefault="006A3FF3" w:rsidP="006A3FF3">
            <w:pPr>
              <w:pStyle w:val="ListParagraph"/>
              <w:numPr>
                <w:ilvl w:val="0"/>
                <w:numId w:val="10"/>
              </w:numPr>
              <w:rPr>
                <w:rFonts w:cs="Arial"/>
                <w:iCs/>
              </w:rPr>
            </w:pPr>
            <w:r>
              <w:rPr>
                <w:rFonts w:cs="Arial"/>
                <w:iCs/>
              </w:rPr>
              <w:lastRenderedPageBreak/>
              <w:t>Using QSR for qualitative analysis</w:t>
            </w:r>
            <w:r w:rsidR="00E208D7">
              <w:rPr>
                <w:rFonts w:cs="Arial"/>
                <w:iCs/>
              </w:rPr>
              <w:t>. The m</w:t>
            </w:r>
            <w:r>
              <w:rPr>
                <w:rFonts w:cs="Arial"/>
                <w:iCs/>
              </w:rPr>
              <w:t xml:space="preserve">ost frequent qualitative response </w:t>
            </w:r>
            <w:r w:rsidR="00E208D7">
              <w:rPr>
                <w:rFonts w:cs="Arial"/>
                <w:iCs/>
              </w:rPr>
              <w:t>has been in response to the time management of trainings.</w:t>
            </w:r>
          </w:p>
          <w:p w14:paraId="584BFABF" w14:textId="1E6C3DB6" w:rsidR="006A3FF3" w:rsidRPr="006A3FF3" w:rsidRDefault="00E208D7" w:rsidP="006A3FF3">
            <w:pPr>
              <w:pStyle w:val="ListParagraph"/>
              <w:numPr>
                <w:ilvl w:val="0"/>
                <w:numId w:val="10"/>
              </w:numPr>
              <w:rPr>
                <w:rFonts w:cs="Arial"/>
                <w:iCs/>
              </w:rPr>
            </w:pPr>
            <w:r>
              <w:rPr>
                <w:rFonts w:cs="Arial"/>
                <w:iCs/>
              </w:rPr>
              <w:t>Evaluation team</w:t>
            </w:r>
            <w:r w:rsidR="006A3FF3">
              <w:rPr>
                <w:rFonts w:cs="Arial"/>
                <w:iCs/>
              </w:rPr>
              <w:t xml:space="preserve"> meet</w:t>
            </w:r>
            <w:r>
              <w:rPr>
                <w:rFonts w:cs="Arial"/>
                <w:iCs/>
              </w:rPr>
              <w:t>s</w:t>
            </w:r>
            <w:r w:rsidR="006A3FF3">
              <w:rPr>
                <w:rFonts w:cs="Arial"/>
                <w:iCs/>
              </w:rPr>
              <w:t xml:space="preserve"> weekly with the </w:t>
            </w:r>
            <w:r>
              <w:rPr>
                <w:rFonts w:cs="Arial"/>
                <w:iCs/>
              </w:rPr>
              <w:t xml:space="preserve">program </w:t>
            </w:r>
            <w:r w:rsidR="006A3FF3">
              <w:rPr>
                <w:rFonts w:cs="Arial"/>
                <w:iCs/>
              </w:rPr>
              <w:t>staff team</w:t>
            </w:r>
            <w:r>
              <w:rPr>
                <w:rFonts w:cs="Arial"/>
                <w:iCs/>
              </w:rPr>
              <w:t>.</w:t>
            </w:r>
          </w:p>
          <w:p w14:paraId="6C3A9AA5" w14:textId="5FDEC343" w:rsidR="006A3FF3" w:rsidRDefault="006A3FF3" w:rsidP="00873278">
            <w:pPr>
              <w:rPr>
                <w:rFonts w:cs="Arial"/>
                <w:iCs/>
              </w:rPr>
            </w:pPr>
          </w:p>
          <w:p w14:paraId="114E630F" w14:textId="52BCB7D8" w:rsidR="006A3FF3" w:rsidRDefault="006A3FF3" w:rsidP="006A3FF3">
            <w:pPr>
              <w:rPr>
                <w:rFonts w:cs="Arial"/>
                <w:iCs/>
              </w:rPr>
            </w:pPr>
            <w:r>
              <w:rPr>
                <w:rFonts w:cs="Arial"/>
                <w:iCs/>
              </w:rPr>
              <w:t>Presentation</w:t>
            </w:r>
            <w:r>
              <w:rPr>
                <w:rFonts w:cs="Arial"/>
                <w:iCs/>
              </w:rPr>
              <w:t xml:space="preserve"> by Rachele Espiritu</w:t>
            </w:r>
            <w:r>
              <w:rPr>
                <w:rFonts w:cs="Arial"/>
                <w:iCs/>
              </w:rPr>
              <w:t>:</w:t>
            </w:r>
          </w:p>
          <w:p w14:paraId="7FF5BC86" w14:textId="2F85D3DE" w:rsidR="006A3FF3" w:rsidRDefault="006A3FF3" w:rsidP="006A3FF3">
            <w:pPr>
              <w:pStyle w:val="ListParagraph"/>
              <w:numPr>
                <w:ilvl w:val="0"/>
                <w:numId w:val="11"/>
              </w:numPr>
              <w:rPr>
                <w:rFonts w:cs="Arial"/>
                <w:iCs/>
              </w:rPr>
            </w:pPr>
            <w:r>
              <w:rPr>
                <w:rFonts w:cs="Arial"/>
                <w:iCs/>
              </w:rPr>
              <w:t>Shared about their “Expanding the Bench” initiative</w:t>
            </w:r>
            <w:r w:rsidR="00855AA7">
              <w:rPr>
                <w:rFonts w:cs="Arial"/>
                <w:iCs/>
              </w:rPr>
              <w:t xml:space="preserve">, </w:t>
            </w:r>
            <w:r>
              <w:rPr>
                <w:rFonts w:cs="Arial"/>
                <w:iCs/>
              </w:rPr>
              <w:t xml:space="preserve">which </w:t>
            </w:r>
            <w:r w:rsidR="00855AA7">
              <w:rPr>
                <w:rFonts w:cs="Arial"/>
                <w:iCs/>
              </w:rPr>
              <w:t>was</w:t>
            </w:r>
            <w:r>
              <w:rPr>
                <w:rFonts w:cs="Arial"/>
                <w:iCs/>
              </w:rPr>
              <w:t xml:space="preserve"> largely instigated </w:t>
            </w:r>
            <w:r w:rsidR="00855AA7">
              <w:rPr>
                <w:rFonts w:cs="Arial"/>
                <w:iCs/>
              </w:rPr>
              <w:t xml:space="preserve">by philanthropy. </w:t>
            </w:r>
          </w:p>
          <w:p w14:paraId="7B7E0A22" w14:textId="4A992D4E" w:rsidR="006A3FF3" w:rsidRDefault="006A3FF3" w:rsidP="006A3FF3">
            <w:pPr>
              <w:pStyle w:val="ListParagraph"/>
              <w:numPr>
                <w:ilvl w:val="0"/>
                <w:numId w:val="11"/>
              </w:numPr>
              <w:rPr>
                <w:rFonts w:cs="Arial"/>
                <w:iCs/>
              </w:rPr>
            </w:pPr>
            <w:r>
              <w:rPr>
                <w:rFonts w:cs="Arial"/>
                <w:iCs/>
              </w:rPr>
              <w:t xml:space="preserve">This initiative takes into consideration how to diversify the field of evaluation and </w:t>
            </w:r>
            <w:r w:rsidR="00855AA7">
              <w:rPr>
                <w:rFonts w:cs="Arial"/>
                <w:iCs/>
              </w:rPr>
              <w:t>data access</w:t>
            </w:r>
            <w:r>
              <w:rPr>
                <w:rFonts w:cs="Arial"/>
                <w:iCs/>
              </w:rPr>
              <w:t>. The evaluation field has collected data from communities of color, but often times, not included them as evaluators</w:t>
            </w:r>
            <w:r w:rsidR="00855AA7">
              <w:rPr>
                <w:rFonts w:cs="Arial"/>
                <w:iCs/>
              </w:rPr>
              <w:t xml:space="preserve"> of data</w:t>
            </w:r>
            <w:r>
              <w:rPr>
                <w:rFonts w:cs="Arial"/>
                <w:iCs/>
              </w:rPr>
              <w:t xml:space="preserve">. </w:t>
            </w:r>
          </w:p>
          <w:p w14:paraId="74B25D9A" w14:textId="33640FB4" w:rsidR="006A3FF3" w:rsidRDefault="006A3FF3" w:rsidP="006A3FF3">
            <w:pPr>
              <w:pStyle w:val="ListParagraph"/>
              <w:numPr>
                <w:ilvl w:val="0"/>
                <w:numId w:val="11"/>
              </w:numPr>
              <w:rPr>
                <w:rFonts w:cs="Arial"/>
                <w:iCs/>
              </w:rPr>
            </w:pPr>
            <w:r>
              <w:rPr>
                <w:rFonts w:cs="Arial"/>
                <w:iCs/>
              </w:rPr>
              <w:t xml:space="preserve">Culturally responsive and equitable evaluation (CREE) requires the integration of diversity, inclusion, and equity in all phases of evaluation. CREE advances equity by informing strategy, program improvement, decision-making, policy formation and social change. </w:t>
            </w:r>
          </w:p>
          <w:p w14:paraId="591151E1" w14:textId="4B43FECA" w:rsidR="006A3FF3" w:rsidRDefault="00855AA7" w:rsidP="006A3FF3">
            <w:pPr>
              <w:pStyle w:val="ListParagraph"/>
              <w:numPr>
                <w:ilvl w:val="0"/>
                <w:numId w:val="11"/>
              </w:numPr>
              <w:rPr>
                <w:rFonts w:cs="Arial"/>
                <w:iCs/>
              </w:rPr>
            </w:pPr>
            <w:r>
              <w:rPr>
                <w:rFonts w:cs="Arial"/>
                <w:iCs/>
              </w:rPr>
              <w:t>I</w:t>
            </w:r>
            <w:r w:rsidR="0009284D">
              <w:rPr>
                <w:rFonts w:cs="Arial"/>
                <w:iCs/>
              </w:rPr>
              <w:t>ncorporating CREE into their Center’s activities</w:t>
            </w:r>
            <w:r>
              <w:rPr>
                <w:rFonts w:cs="Arial"/>
                <w:iCs/>
              </w:rPr>
              <w:t xml:space="preserve"> using a theory of change that they developed internally</w:t>
            </w:r>
            <w:r w:rsidR="0009284D">
              <w:rPr>
                <w:rFonts w:cs="Arial"/>
                <w:iCs/>
              </w:rPr>
              <w:t xml:space="preserve">. </w:t>
            </w:r>
          </w:p>
          <w:p w14:paraId="3B2C0266" w14:textId="4E26BA4C" w:rsidR="0009284D" w:rsidRDefault="0009284D" w:rsidP="006A3FF3">
            <w:pPr>
              <w:pStyle w:val="ListParagraph"/>
              <w:numPr>
                <w:ilvl w:val="0"/>
                <w:numId w:val="11"/>
              </w:numPr>
              <w:rPr>
                <w:rFonts w:cs="Arial"/>
                <w:iCs/>
              </w:rPr>
            </w:pPr>
            <w:r>
              <w:rPr>
                <w:rFonts w:cs="Arial"/>
                <w:iCs/>
              </w:rPr>
              <w:t xml:space="preserve">They have a database of evaluators of color. </w:t>
            </w:r>
          </w:p>
          <w:p w14:paraId="3EC5E5A1" w14:textId="6A92B06D" w:rsidR="0009284D" w:rsidRPr="006A3FF3" w:rsidRDefault="0009284D" w:rsidP="006A3FF3">
            <w:pPr>
              <w:pStyle w:val="ListParagraph"/>
              <w:numPr>
                <w:ilvl w:val="0"/>
                <w:numId w:val="11"/>
              </w:numPr>
              <w:rPr>
                <w:rFonts w:cs="Arial"/>
                <w:iCs/>
              </w:rPr>
            </w:pPr>
            <w:r>
              <w:rPr>
                <w:rFonts w:cs="Arial"/>
                <w:iCs/>
              </w:rPr>
              <w:t>They also offer professional development on the practice of CREE.</w:t>
            </w:r>
          </w:p>
          <w:p w14:paraId="312126EB" w14:textId="77777777" w:rsidR="006A3FF3" w:rsidRDefault="006A3FF3" w:rsidP="00873278">
            <w:pPr>
              <w:rPr>
                <w:rFonts w:cs="Arial"/>
                <w:iCs/>
              </w:rPr>
            </w:pPr>
          </w:p>
          <w:p w14:paraId="481864A9" w14:textId="1F4B91B2" w:rsidR="00795D7F" w:rsidRPr="00873278" w:rsidRDefault="00C646FE" w:rsidP="00873278">
            <w:pPr>
              <w:rPr>
                <w:rFonts w:cs="Arial"/>
                <w:iCs/>
              </w:rPr>
            </w:pPr>
            <w:r w:rsidRPr="00873278">
              <w:rPr>
                <w:rFonts w:cs="Arial"/>
                <w:iCs/>
              </w:rPr>
              <w:t>Group Discussion</w:t>
            </w:r>
            <w:r w:rsidR="00795D7F" w:rsidRPr="00873278">
              <w:rPr>
                <w:rFonts w:cs="Arial"/>
                <w:iCs/>
              </w:rPr>
              <w:t>:</w:t>
            </w:r>
          </w:p>
          <w:p w14:paraId="6EDB243B" w14:textId="2D048CB3" w:rsidR="00C646FE" w:rsidRDefault="0009284D" w:rsidP="00873278">
            <w:pPr>
              <w:pStyle w:val="ListParagraph"/>
              <w:numPr>
                <w:ilvl w:val="0"/>
                <w:numId w:val="4"/>
              </w:numPr>
              <w:ind w:left="336" w:hanging="336"/>
              <w:rPr>
                <w:rFonts w:cs="Arial"/>
                <w:iCs/>
              </w:rPr>
            </w:pPr>
            <w:r>
              <w:rPr>
                <w:rFonts w:cs="Arial"/>
                <w:iCs/>
              </w:rPr>
              <w:t>CRE</w:t>
            </w:r>
            <w:r w:rsidR="00340955">
              <w:rPr>
                <w:rFonts w:cs="Arial"/>
                <w:iCs/>
              </w:rPr>
              <w:t>E is factual and aspirational. It is b</w:t>
            </w:r>
            <w:r>
              <w:rPr>
                <w:rFonts w:cs="Arial"/>
                <w:iCs/>
              </w:rPr>
              <w:t xml:space="preserve">ased on some literature about </w:t>
            </w:r>
            <w:r w:rsidR="00340955">
              <w:rPr>
                <w:rFonts w:cs="Arial"/>
                <w:iCs/>
              </w:rPr>
              <w:t xml:space="preserve">the </w:t>
            </w:r>
            <w:r>
              <w:rPr>
                <w:rFonts w:cs="Arial"/>
                <w:iCs/>
              </w:rPr>
              <w:t xml:space="preserve">validity of data that doesn’t take culture into account. </w:t>
            </w:r>
          </w:p>
          <w:p w14:paraId="034153E3" w14:textId="77777777" w:rsidR="0009284D" w:rsidRDefault="0009284D" w:rsidP="00873278">
            <w:pPr>
              <w:pStyle w:val="ListParagraph"/>
              <w:numPr>
                <w:ilvl w:val="0"/>
                <w:numId w:val="4"/>
              </w:numPr>
              <w:ind w:left="336" w:hanging="336"/>
              <w:rPr>
                <w:rFonts w:cs="Arial"/>
                <w:iCs/>
              </w:rPr>
            </w:pPr>
            <w:r>
              <w:rPr>
                <w:rFonts w:cs="Arial"/>
                <w:iCs/>
              </w:rPr>
              <w:t xml:space="preserve">Culturally responsive evaluation is an approach that should be infused into all aspects of evaluation. It’s not a single method.  </w:t>
            </w:r>
          </w:p>
          <w:p w14:paraId="48B7CE13" w14:textId="20603283" w:rsidR="00ED0568" w:rsidRDefault="00340955" w:rsidP="00873278">
            <w:pPr>
              <w:pStyle w:val="ListParagraph"/>
              <w:numPr>
                <w:ilvl w:val="0"/>
                <w:numId w:val="4"/>
              </w:numPr>
              <w:ind w:left="336" w:hanging="336"/>
              <w:rPr>
                <w:rFonts w:cs="Arial"/>
                <w:iCs/>
              </w:rPr>
            </w:pPr>
            <w:r>
              <w:rPr>
                <w:rFonts w:cs="Arial"/>
                <w:iCs/>
              </w:rPr>
              <w:t>The Advisory Board</w:t>
            </w:r>
            <w:r w:rsidR="00ED0568">
              <w:rPr>
                <w:rFonts w:cs="Arial"/>
                <w:iCs/>
              </w:rPr>
              <w:t xml:space="preserve"> could be a great way to engage someone who has expertise in evaluation wi</w:t>
            </w:r>
            <w:r>
              <w:rPr>
                <w:rFonts w:cs="Arial"/>
                <w:iCs/>
              </w:rPr>
              <w:t>th diverse populations and/or</w:t>
            </w:r>
            <w:r w:rsidR="00ED0568">
              <w:rPr>
                <w:rFonts w:cs="Arial"/>
                <w:iCs/>
              </w:rPr>
              <w:t xml:space="preserve"> culturally responsive</w:t>
            </w:r>
            <w:r>
              <w:rPr>
                <w:rFonts w:cs="Arial"/>
                <w:iCs/>
              </w:rPr>
              <w:t xml:space="preserve"> evaluation</w:t>
            </w:r>
            <w:r w:rsidR="00ED0568">
              <w:rPr>
                <w:rFonts w:cs="Arial"/>
                <w:iCs/>
              </w:rPr>
              <w:t>.</w:t>
            </w:r>
          </w:p>
          <w:p w14:paraId="005D0815" w14:textId="6C4987EC" w:rsidR="00757F08" w:rsidRDefault="00340955" w:rsidP="00873278">
            <w:pPr>
              <w:pStyle w:val="ListParagraph"/>
              <w:numPr>
                <w:ilvl w:val="0"/>
                <w:numId w:val="4"/>
              </w:numPr>
              <w:ind w:left="336" w:hanging="336"/>
              <w:rPr>
                <w:rFonts w:cs="Arial"/>
                <w:iCs/>
              </w:rPr>
            </w:pPr>
            <w:r>
              <w:rPr>
                <w:rFonts w:cs="Arial"/>
                <w:iCs/>
              </w:rPr>
              <w:t>There is diversity</w:t>
            </w:r>
            <w:r w:rsidR="00ED0568">
              <w:rPr>
                <w:rFonts w:cs="Arial"/>
                <w:iCs/>
              </w:rPr>
              <w:t xml:space="preserve"> within each culture. There are cultural identifiers</w:t>
            </w:r>
            <w:r>
              <w:rPr>
                <w:rFonts w:cs="Arial"/>
                <w:iCs/>
              </w:rPr>
              <w:t xml:space="preserve"> but c</w:t>
            </w:r>
            <w:r w:rsidR="00ED0568">
              <w:rPr>
                <w:rFonts w:cs="Arial"/>
                <w:iCs/>
              </w:rPr>
              <w:t>ulture can be broken down into many variables such as acculturation</w:t>
            </w:r>
            <w:r>
              <w:rPr>
                <w:rFonts w:cs="Arial"/>
                <w:iCs/>
              </w:rPr>
              <w:t xml:space="preserve"> level</w:t>
            </w:r>
            <w:r w:rsidR="00ED0568">
              <w:rPr>
                <w:rFonts w:cs="Arial"/>
                <w:iCs/>
              </w:rPr>
              <w:t xml:space="preserve">, values, etc. </w:t>
            </w:r>
          </w:p>
          <w:p w14:paraId="0DC03368" w14:textId="2D281CB4" w:rsidR="00ED0568" w:rsidRDefault="00ED0568" w:rsidP="00873278">
            <w:pPr>
              <w:pStyle w:val="ListParagraph"/>
              <w:numPr>
                <w:ilvl w:val="0"/>
                <w:numId w:val="4"/>
              </w:numPr>
              <w:ind w:left="336" w:hanging="336"/>
              <w:rPr>
                <w:rFonts w:cs="Arial"/>
                <w:iCs/>
              </w:rPr>
            </w:pPr>
            <w:r>
              <w:rPr>
                <w:rFonts w:cs="Arial"/>
                <w:iCs/>
              </w:rPr>
              <w:t xml:space="preserve">We all bring a lens that </w:t>
            </w:r>
            <w:r w:rsidR="00340955">
              <w:rPr>
                <w:rFonts w:cs="Arial"/>
                <w:iCs/>
              </w:rPr>
              <w:t>affects</w:t>
            </w:r>
            <w:r>
              <w:rPr>
                <w:rFonts w:cs="Arial"/>
                <w:iCs/>
              </w:rPr>
              <w:t xml:space="preserve"> how we ask questions, </w:t>
            </w:r>
            <w:r w:rsidR="00757F08">
              <w:rPr>
                <w:rFonts w:cs="Arial"/>
                <w:iCs/>
              </w:rPr>
              <w:t>view data, and determine additional analyses.</w:t>
            </w:r>
          </w:p>
          <w:p w14:paraId="34F3E82D" w14:textId="3C43E8EB" w:rsidR="00757F08" w:rsidRDefault="00757F08" w:rsidP="00873278">
            <w:pPr>
              <w:pStyle w:val="ListParagraph"/>
              <w:numPr>
                <w:ilvl w:val="0"/>
                <w:numId w:val="4"/>
              </w:numPr>
              <w:ind w:left="336" w:hanging="336"/>
              <w:rPr>
                <w:rFonts w:cs="Arial"/>
                <w:iCs/>
              </w:rPr>
            </w:pPr>
            <w:r>
              <w:rPr>
                <w:rFonts w:cs="Arial"/>
                <w:iCs/>
              </w:rPr>
              <w:lastRenderedPageBreak/>
              <w:t xml:space="preserve">This type of evaluation takes a lot more time </w:t>
            </w:r>
            <w:r w:rsidR="00340955">
              <w:rPr>
                <w:rFonts w:cs="Arial"/>
                <w:iCs/>
              </w:rPr>
              <w:t>and resources. Unfortunately,</w:t>
            </w:r>
            <w:r>
              <w:rPr>
                <w:rFonts w:cs="Arial"/>
                <w:iCs/>
              </w:rPr>
              <w:t xml:space="preserve"> funding can sometimes </w:t>
            </w:r>
            <w:r w:rsidR="00340955">
              <w:rPr>
                <w:rFonts w:cs="Arial"/>
                <w:iCs/>
              </w:rPr>
              <w:t>limit the process</w:t>
            </w:r>
            <w:r>
              <w:rPr>
                <w:rFonts w:cs="Arial"/>
                <w:iCs/>
              </w:rPr>
              <w:t>.</w:t>
            </w:r>
          </w:p>
          <w:p w14:paraId="79DB2CC2" w14:textId="77777777" w:rsidR="00340955" w:rsidRDefault="00D63C8D" w:rsidP="00873278">
            <w:pPr>
              <w:pStyle w:val="ListParagraph"/>
              <w:numPr>
                <w:ilvl w:val="0"/>
                <w:numId w:val="4"/>
              </w:numPr>
              <w:ind w:left="336" w:hanging="336"/>
              <w:rPr>
                <w:rFonts w:cs="Arial"/>
                <w:iCs/>
              </w:rPr>
            </w:pPr>
            <w:r>
              <w:rPr>
                <w:rFonts w:cs="Arial"/>
                <w:iCs/>
              </w:rPr>
              <w:t xml:space="preserve">Needs assessments: </w:t>
            </w:r>
            <w:r w:rsidR="00340955">
              <w:rPr>
                <w:rFonts w:cs="Arial"/>
                <w:iCs/>
              </w:rPr>
              <w:t>The National Hispanic and Latino ATTC/PTTC c</w:t>
            </w:r>
            <w:r w:rsidR="00467FA7">
              <w:rPr>
                <w:rFonts w:cs="Arial"/>
                <w:iCs/>
              </w:rPr>
              <w:t>ulturally info</w:t>
            </w:r>
            <w:r w:rsidR="00340955">
              <w:rPr>
                <w:rFonts w:cs="Arial"/>
                <w:iCs/>
              </w:rPr>
              <w:t>rmed assessment was developed with</w:t>
            </w:r>
            <w:r w:rsidR="00467FA7">
              <w:rPr>
                <w:rFonts w:cs="Arial"/>
                <w:iCs/>
              </w:rPr>
              <w:t xml:space="preserve"> a group of stakeholder</w:t>
            </w:r>
            <w:r>
              <w:rPr>
                <w:rFonts w:cs="Arial"/>
                <w:iCs/>
              </w:rPr>
              <w:t>s</w:t>
            </w:r>
            <w:r w:rsidR="00340955">
              <w:rPr>
                <w:rFonts w:cs="Arial"/>
                <w:iCs/>
              </w:rPr>
              <w:t xml:space="preserve"> and included </w:t>
            </w:r>
            <w:r w:rsidR="00467FA7">
              <w:rPr>
                <w:rFonts w:cs="Arial"/>
                <w:iCs/>
              </w:rPr>
              <w:t>quanti</w:t>
            </w:r>
            <w:r w:rsidR="0003195A">
              <w:rPr>
                <w:rFonts w:cs="Arial"/>
                <w:iCs/>
              </w:rPr>
              <w:t>ta</w:t>
            </w:r>
            <w:r w:rsidR="00467FA7">
              <w:rPr>
                <w:rFonts w:cs="Arial"/>
                <w:iCs/>
              </w:rPr>
              <w:t xml:space="preserve">tive and qualitative questions. The data was </w:t>
            </w:r>
            <w:r w:rsidR="00340955">
              <w:rPr>
                <w:rFonts w:cs="Arial"/>
                <w:iCs/>
              </w:rPr>
              <w:t xml:space="preserve">then </w:t>
            </w:r>
            <w:r w:rsidR="00467FA7">
              <w:rPr>
                <w:rFonts w:cs="Arial"/>
                <w:iCs/>
              </w:rPr>
              <w:t>shared with other stakeholders</w:t>
            </w:r>
            <w:r w:rsidR="00340955">
              <w:rPr>
                <w:rFonts w:cs="Arial"/>
                <w:iCs/>
              </w:rPr>
              <w:t>,</w:t>
            </w:r>
            <w:r w:rsidR="00467FA7">
              <w:rPr>
                <w:rFonts w:cs="Arial"/>
                <w:iCs/>
              </w:rPr>
              <w:t xml:space="preserve"> including the advisory boards</w:t>
            </w:r>
            <w:r w:rsidR="00340955">
              <w:rPr>
                <w:rFonts w:cs="Arial"/>
                <w:iCs/>
              </w:rPr>
              <w:t>,</w:t>
            </w:r>
            <w:r w:rsidR="00467FA7">
              <w:rPr>
                <w:rFonts w:cs="Arial"/>
                <w:iCs/>
              </w:rPr>
              <w:t xml:space="preserve"> to assist</w:t>
            </w:r>
            <w:r w:rsidR="00340955">
              <w:rPr>
                <w:rFonts w:cs="Arial"/>
                <w:iCs/>
              </w:rPr>
              <w:t xml:space="preserve"> in the data interpretation process</w:t>
            </w:r>
            <w:r w:rsidR="00467FA7">
              <w:rPr>
                <w:rFonts w:cs="Arial"/>
                <w:iCs/>
              </w:rPr>
              <w:t xml:space="preserve">. </w:t>
            </w:r>
            <w:r w:rsidR="00340955">
              <w:rPr>
                <w:rFonts w:cs="Arial"/>
                <w:iCs/>
              </w:rPr>
              <w:t>Their Centers h</w:t>
            </w:r>
            <w:r>
              <w:rPr>
                <w:rFonts w:cs="Arial"/>
                <w:iCs/>
              </w:rPr>
              <w:t xml:space="preserve">ave relied on the qualitative evaluation to inform their work and impact. </w:t>
            </w:r>
          </w:p>
          <w:p w14:paraId="183DA664" w14:textId="1BFE0405" w:rsidR="00757F08" w:rsidRDefault="00A85B76" w:rsidP="00873278">
            <w:pPr>
              <w:pStyle w:val="ListParagraph"/>
              <w:numPr>
                <w:ilvl w:val="0"/>
                <w:numId w:val="4"/>
              </w:numPr>
              <w:ind w:left="336" w:hanging="336"/>
              <w:rPr>
                <w:rFonts w:cs="Arial"/>
                <w:iCs/>
              </w:rPr>
            </w:pPr>
            <w:r>
              <w:rPr>
                <w:rFonts w:cs="Arial"/>
                <w:iCs/>
              </w:rPr>
              <w:t>Regarding needs assessments, c</w:t>
            </w:r>
            <w:r w:rsidR="00D63C8D">
              <w:rPr>
                <w:rFonts w:cs="Arial"/>
                <w:iCs/>
              </w:rPr>
              <w:t>onsider engaging</w:t>
            </w:r>
            <w:r w:rsidR="00340955">
              <w:rPr>
                <w:rFonts w:cs="Arial"/>
                <w:iCs/>
              </w:rPr>
              <w:t xml:space="preserve"> the end-user in the approach,</w:t>
            </w:r>
            <w:r w:rsidR="00D63C8D">
              <w:rPr>
                <w:rFonts w:cs="Arial"/>
                <w:iCs/>
              </w:rPr>
              <w:t xml:space="preserve"> too. </w:t>
            </w:r>
          </w:p>
          <w:p w14:paraId="6C8775A2" w14:textId="52F8A9D3" w:rsidR="00D63C8D" w:rsidRDefault="00D63C8D" w:rsidP="00D63C8D">
            <w:pPr>
              <w:pStyle w:val="ListParagraph"/>
              <w:numPr>
                <w:ilvl w:val="0"/>
                <w:numId w:val="4"/>
              </w:numPr>
              <w:ind w:left="336" w:hanging="336"/>
              <w:rPr>
                <w:rFonts w:cs="Arial"/>
                <w:iCs/>
              </w:rPr>
            </w:pPr>
            <w:r>
              <w:rPr>
                <w:rFonts w:cs="Arial"/>
                <w:iCs/>
              </w:rPr>
              <w:t xml:space="preserve">How can respondents have power and voice in the evaluation/assessment process? Are there opportunities to combine data from TTCs to </w:t>
            </w:r>
            <w:r w:rsidR="00A85B76">
              <w:rPr>
                <w:rFonts w:cs="Arial"/>
                <w:iCs/>
              </w:rPr>
              <w:t>explore</w:t>
            </w:r>
            <w:r>
              <w:rPr>
                <w:rFonts w:cs="Arial"/>
                <w:iCs/>
              </w:rPr>
              <w:t xml:space="preserve"> differences across demographic groups. This could be helpful for collective programming. For example, </w:t>
            </w:r>
            <w:r w:rsidR="00A85B76">
              <w:rPr>
                <w:rFonts w:cs="Arial"/>
                <w:iCs/>
              </w:rPr>
              <w:t>the National Hispanic and Latino ATTC and PTTC</w:t>
            </w:r>
            <w:r>
              <w:rPr>
                <w:rFonts w:cs="Arial"/>
                <w:iCs/>
              </w:rPr>
              <w:t xml:space="preserve"> would benefit from </w:t>
            </w:r>
            <w:r w:rsidR="00A85B76">
              <w:rPr>
                <w:rFonts w:cs="Arial"/>
                <w:iCs/>
              </w:rPr>
              <w:t xml:space="preserve">a </w:t>
            </w:r>
            <w:r>
              <w:rPr>
                <w:rFonts w:cs="Arial"/>
                <w:iCs/>
              </w:rPr>
              <w:t xml:space="preserve">better understanding </w:t>
            </w:r>
            <w:r w:rsidR="00A85B76">
              <w:rPr>
                <w:rFonts w:cs="Arial"/>
                <w:iCs/>
              </w:rPr>
              <w:t xml:space="preserve">of </w:t>
            </w:r>
            <w:r>
              <w:rPr>
                <w:rFonts w:cs="Arial"/>
                <w:iCs/>
              </w:rPr>
              <w:t xml:space="preserve">how non-Latinos who attend </w:t>
            </w:r>
            <w:r w:rsidR="00A85B76">
              <w:rPr>
                <w:rFonts w:cs="Arial"/>
                <w:iCs/>
              </w:rPr>
              <w:t>L</w:t>
            </w:r>
            <w:r>
              <w:rPr>
                <w:rFonts w:cs="Arial"/>
                <w:iCs/>
              </w:rPr>
              <w:t xml:space="preserve">atino-focused trainings evaluate trainings. </w:t>
            </w:r>
          </w:p>
          <w:p w14:paraId="52B0312C" w14:textId="6D568109" w:rsidR="00D63C8D" w:rsidRDefault="0007613B" w:rsidP="00D63C8D">
            <w:pPr>
              <w:pStyle w:val="ListParagraph"/>
              <w:numPr>
                <w:ilvl w:val="0"/>
                <w:numId w:val="4"/>
              </w:numPr>
              <w:ind w:left="336" w:hanging="336"/>
              <w:rPr>
                <w:rFonts w:cs="Arial"/>
                <w:iCs/>
              </w:rPr>
            </w:pPr>
            <w:r>
              <w:rPr>
                <w:rFonts w:cs="Arial"/>
                <w:iCs/>
              </w:rPr>
              <w:t>Given that most TTCs are regional</w:t>
            </w:r>
            <w:r w:rsidR="00A85B76">
              <w:rPr>
                <w:rFonts w:cs="Arial"/>
                <w:iCs/>
              </w:rPr>
              <w:t xml:space="preserve">ly </w:t>
            </w:r>
            <w:r>
              <w:rPr>
                <w:rFonts w:cs="Arial"/>
                <w:iCs/>
              </w:rPr>
              <w:t>focused, having a national lens on d</w:t>
            </w:r>
            <w:r w:rsidR="00BA5745">
              <w:rPr>
                <w:rFonts w:cs="Arial"/>
                <w:iCs/>
              </w:rPr>
              <w:t>ata would be helpful for</w:t>
            </w:r>
            <w:r>
              <w:rPr>
                <w:rFonts w:cs="Arial"/>
                <w:iCs/>
              </w:rPr>
              <w:t xml:space="preserve"> informing regional engagement strategies. </w:t>
            </w:r>
          </w:p>
          <w:p w14:paraId="12D4C1AD" w14:textId="17818A46" w:rsidR="0007613B" w:rsidRDefault="00BA5745" w:rsidP="00D63C8D">
            <w:pPr>
              <w:pStyle w:val="ListParagraph"/>
              <w:numPr>
                <w:ilvl w:val="0"/>
                <w:numId w:val="4"/>
              </w:numPr>
              <w:ind w:left="336" w:hanging="336"/>
              <w:rPr>
                <w:rFonts w:cs="Arial"/>
                <w:iCs/>
              </w:rPr>
            </w:pPr>
            <w:r>
              <w:rPr>
                <w:rFonts w:cs="Arial"/>
                <w:iCs/>
              </w:rPr>
              <w:t>The TTCs can consider sharing c</w:t>
            </w:r>
            <w:r w:rsidR="0007613B">
              <w:rPr>
                <w:rFonts w:cs="Arial"/>
                <w:iCs/>
              </w:rPr>
              <w:t xml:space="preserve">ase studies </w:t>
            </w:r>
            <w:r>
              <w:rPr>
                <w:rFonts w:cs="Arial"/>
                <w:iCs/>
              </w:rPr>
              <w:t>(with follow up data) focused on</w:t>
            </w:r>
            <w:r w:rsidR="0007613B">
              <w:rPr>
                <w:rFonts w:cs="Arial"/>
                <w:iCs/>
              </w:rPr>
              <w:t xml:space="preserve"> cultural proficiency</w:t>
            </w:r>
            <w:r>
              <w:rPr>
                <w:rFonts w:cs="Arial"/>
                <w:iCs/>
              </w:rPr>
              <w:t>.</w:t>
            </w:r>
            <w:r w:rsidR="0007613B">
              <w:rPr>
                <w:rFonts w:cs="Arial"/>
                <w:iCs/>
              </w:rPr>
              <w:t xml:space="preserve"> </w:t>
            </w:r>
          </w:p>
          <w:p w14:paraId="1D789E84" w14:textId="607FDE17" w:rsidR="00A31002" w:rsidRDefault="0007613B" w:rsidP="00A31002">
            <w:pPr>
              <w:pStyle w:val="ListParagraph"/>
              <w:numPr>
                <w:ilvl w:val="0"/>
                <w:numId w:val="4"/>
              </w:numPr>
              <w:ind w:left="336" w:hanging="336"/>
              <w:rPr>
                <w:rFonts w:cs="Arial"/>
                <w:iCs/>
              </w:rPr>
            </w:pPr>
            <w:r>
              <w:rPr>
                <w:rFonts w:cs="Arial"/>
                <w:iCs/>
              </w:rPr>
              <w:t xml:space="preserve">It is </w:t>
            </w:r>
            <w:r w:rsidR="00BA5745">
              <w:rPr>
                <w:rFonts w:cs="Arial"/>
                <w:iCs/>
              </w:rPr>
              <w:t xml:space="preserve">also </w:t>
            </w:r>
            <w:r>
              <w:rPr>
                <w:rFonts w:cs="Arial"/>
                <w:iCs/>
              </w:rPr>
              <w:t>important to t</w:t>
            </w:r>
            <w:r w:rsidR="00BA5745">
              <w:rPr>
                <w:rFonts w:cs="Arial"/>
                <w:iCs/>
              </w:rPr>
              <w:t>hink about language issues in evaluation as this creates a barrier</w:t>
            </w:r>
            <w:r>
              <w:rPr>
                <w:rFonts w:cs="Arial"/>
                <w:iCs/>
              </w:rPr>
              <w:t xml:space="preserve">. </w:t>
            </w:r>
          </w:p>
          <w:p w14:paraId="149491DA" w14:textId="3564E3A6" w:rsidR="00A31002" w:rsidRPr="00A31002" w:rsidRDefault="00BA5745" w:rsidP="00A31002">
            <w:pPr>
              <w:pStyle w:val="ListParagraph"/>
              <w:numPr>
                <w:ilvl w:val="0"/>
                <w:numId w:val="4"/>
              </w:numPr>
              <w:ind w:left="336" w:hanging="336"/>
              <w:rPr>
                <w:rFonts w:cs="Arial"/>
                <w:iCs/>
              </w:rPr>
            </w:pPr>
            <w:r>
              <w:rPr>
                <w:rFonts w:cs="Arial"/>
                <w:iCs/>
              </w:rPr>
              <w:t>Additional resources on this topic</w:t>
            </w:r>
            <w:r w:rsidR="00A31002" w:rsidRPr="00A31002">
              <w:rPr>
                <w:rFonts w:cs="Arial"/>
                <w:iCs/>
              </w:rPr>
              <w:t>: AEA</w:t>
            </w:r>
            <w:r>
              <w:rPr>
                <w:rFonts w:cs="Arial"/>
                <w:iCs/>
              </w:rPr>
              <w:t xml:space="preserve"> (Rachele will find and share with group),</w:t>
            </w:r>
            <w:r w:rsidR="00A31002" w:rsidRPr="00A31002">
              <w:rPr>
                <w:rFonts w:cs="Arial"/>
                <w:iCs/>
              </w:rPr>
              <w:t xml:space="preserve"> Georgetown</w:t>
            </w:r>
            <w:r>
              <w:rPr>
                <w:rFonts w:cs="Arial"/>
                <w:iCs/>
              </w:rPr>
              <w:t xml:space="preserve"> University (Richard</w:t>
            </w:r>
            <w:r>
              <w:rPr>
                <w:rFonts w:cs="Arial"/>
                <w:iCs/>
              </w:rPr>
              <w:t xml:space="preserve"> will find and share with group),</w:t>
            </w:r>
            <w:r>
              <w:rPr>
                <w:rFonts w:cs="Arial"/>
                <w:iCs/>
              </w:rPr>
              <w:t xml:space="preserve"> </w:t>
            </w:r>
            <w:r w:rsidR="00A31002">
              <w:rPr>
                <w:rFonts w:cs="Arial"/>
                <w:iCs/>
              </w:rPr>
              <w:t xml:space="preserve">expandingthebench.org, </w:t>
            </w:r>
            <w:r>
              <w:rPr>
                <w:rFonts w:cs="Arial"/>
                <w:iCs/>
              </w:rPr>
              <w:t xml:space="preserve">and </w:t>
            </w:r>
            <w:r w:rsidR="00A31002">
              <w:rPr>
                <w:rFonts w:cs="Arial"/>
                <w:iCs/>
              </w:rPr>
              <w:t>ACE Evaluators Network</w:t>
            </w:r>
            <w:r>
              <w:rPr>
                <w:rFonts w:cs="Arial"/>
                <w:iCs/>
              </w:rPr>
              <w:t>.</w:t>
            </w:r>
          </w:p>
          <w:p w14:paraId="25EB0FA4" w14:textId="5AED1532" w:rsidR="00A31002" w:rsidRPr="00BA5745" w:rsidRDefault="00BA5745" w:rsidP="00BA5745">
            <w:pPr>
              <w:pStyle w:val="ListParagraph"/>
              <w:numPr>
                <w:ilvl w:val="0"/>
                <w:numId w:val="4"/>
              </w:numPr>
              <w:ind w:left="336" w:hanging="336"/>
              <w:rPr>
                <w:rFonts w:cs="Arial"/>
                <w:iCs/>
              </w:rPr>
            </w:pPr>
            <w:r>
              <w:rPr>
                <w:rFonts w:cs="Arial"/>
                <w:iCs/>
              </w:rPr>
              <w:t>Strategies TTCs can adopt: c</w:t>
            </w:r>
            <w:r w:rsidR="00A31002">
              <w:rPr>
                <w:rFonts w:cs="Arial"/>
                <w:iCs/>
              </w:rPr>
              <w:t>ompare participant demographics versus regional demographics</w:t>
            </w:r>
            <w:r>
              <w:rPr>
                <w:rFonts w:cs="Arial"/>
                <w:iCs/>
              </w:rPr>
              <w:t xml:space="preserve"> and identify where there are </w:t>
            </w:r>
            <w:r w:rsidR="0091398A">
              <w:rPr>
                <w:rFonts w:cs="Arial"/>
                <w:iCs/>
              </w:rPr>
              <w:t xml:space="preserve">population </w:t>
            </w:r>
            <w:r>
              <w:rPr>
                <w:rFonts w:cs="Arial"/>
                <w:iCs/>
              </w:rPr>
              <w:t xml:space="preserve">gaps, compare </w:t>
            </w:r>
            <w:r w:rsidR="00A31002" w:rsidRPr="00BA5745">
              <w:rPr>
                <w:rFonts w:cs="Arial"/>
                <w:iCs/>
              </w:rPr>
              <w:t xml:space="preserve">evaluation results with your disparity impact statement. </w:t>
            </w:r>
          </w:p>
        </w:tc>
      </w:tr>
      <w:tr w:rsidR="00102C93" w:rsidRPr="00873278" w14:paraId="3357856D" w14:textId="77777777" w:rsidTr="0062641C">
        <w:trPr>
          <w:cnfStyle w:val="000000010000" w:firstRow="0" w:lastRow="0" w:firstColumn="0" w:lastColumn="0" w:oddVBand="0" w:evenVBand="0" w:oddHBand="0" w:evenHBand="1" w:firstRowFirstColumn="0" w:firstRowLastColumn="0" w:lastRowFirstColumn="0" w:lastRowLastColumn="0"/>
          <w:trHeight w:val="755"/>
        </w:trPr>
        <w:tc>
          <w:tcPr>
            <w:tcW w:w="2520" w:type="dxa"/>
            <w:vAlign w:val="top"/>
          </w:tcPr>
          <w:p w14:paraId="1496C623" w14:textId="77777777" w:rsidR="00102C93" w:rsidRPr="00873278" w:rsidRDefault="00102C93" w:rsidP="00873278">
            <w:pPr>
              <w:rPr>
                <w:rFonts w:cs="Arial"/>
                <w:b/>
                <w:bCs/>
                <w:iCs/>
              </w:rPr>
            </w:pPr>
            <w:r w:rsidRPr="00873278">
              <w:rPr>
                <w:rFonts w:cs="Arial"/>
                <w:iCs/>
              </w:rPr>
              <w:lastRenderedPageBreak/>
              <w:t>Recap and ending remarks</w:t>
            </w:r>
            <w:r w:rsidRPr="00873278">
              <w:rPr>
                <w:rFonts w:cs="Arial"/>
                <w:b/>
                <w:bCs/>
                <w:iCs/>
              </w:rPr>
              <w:t xml:space="preserve"> </w:t>
            </w:r>
          </w:p>
          <w:p w14:paraId="382A3980" w14:textId="1A644AD0" w:rsidR="00102C93" w:rsidRPr="00873278" w:rsidRDefault="00102C93" w:rsidP="00873278">
            <w:pPr>
              <w:pStyle w:val="ListParagraph"/>
              <w:numPr>
                <w:ilvl w:val="0"/>
                <w:numId w:val="3"/>
              </w:numPr>
              <w:rPr>
                <w:rFonts w:cs="Arial"/>
                <w:iCs/>
              </w:rPr>
            </w:pPr>
            <w:r w:rsidRPr="00873278">
              <w:rPr>
                <w:rFonts w:cs="Arial"/>
                <w:iCs/>
              </w:rPr>
              <w:t>Next meeting date</w:t>
            </w:r>
          </w:p>
          <w:p w14:paraId="016B5320" w14:textId="44F5B96C" w:rsidR="00102C93" w:rsidRPr="00873278" w:rsidRDefault="00102C93" w:rsidP="00873278">
            <w:pPr>
              <w:pStyle w:val="ListParagraph"/>
              <w:numPr>
                <w:ilvl w:val="0"/>
                <w:numId w:val="3"/>
              </w:numPr>
              <w:rPr>
                <w:rFonts w:cs="Arial"/>
                <w:b/>
                <w:bCs/>
                <w:iCs/>
              </w:rPr>
            </w:pPr>
            <w:r w:rsidRPr="00873278">
              <w:rPr>
                <w:rFonts w:cs="Arial"/>
                <w:iCs/>
              </w:rPr>
              <w:t>Volunteers and/or ideas for spotlight around cultural competency</w:t>
            </w:r>
          </w:p>
        </w:tc>
        <w:tc>
          <w:tcPr>
            <w:tcW w:w="1800" w:type="dxa"/>
            <w:vAlign w:val="top"/>
          </w:tcPr>
          <w:p w14:paraId="0D60ABB9" w14:textId="2BC33242" w:rsidR="00102C93" w:rsidRPr="00873278" w:rsidRDefault="00102C93" w:rsidP="00873278">
            <w:pPr>
              <w:rPr>
                <w:rFonts w:cs="Arial"/>
                <w:iCs/>
              </w:rPr>
            </w:pPr>
            <w:r w:rsidRPr="00873278">
              <w:rPr>
                <w:rFonts w:cs="Arial"/>
                <w:iCs/>
              </w:rPr>
              <w:t>Megan/ Liz</w:t>
            </w:r>
          </w:p>
        </w:tc>
        <w:tc>
          <w:tcPr>
            <w:tcW w:w="5220" w:type="dxa"/>
            <w:vAlign w:val="top"/>
          </w:tcPr>
          <w:p w14:paraId="6F5F3A96" w14:textId="1062A63A" w:rsidR="007E69B7" w:rsidRPr="0034053F" w:rsidRDefault="0034053F" w:rsidP="0091398A">
            <w:pPr>
              <w:rPr>
                <w:rFonts w:cs="Arial"/>
                <w:iCs/>
              </w:rPr>
            </w:pPr>
            <w:r>
              <w:rPr>
                <w:rFonts w:cs="Arial"/>
                <w:iCs/>
              </w:rPr>
              <w:t>The next meeting will be in September</w:t>
            </w:r>
            <w:r w:rsidR="00C646FE" w:rsidRPr="00873278">
              <w:rPr>
                <w:rFonts w:cs="Arial"/>
                <w:iCs/>
              </w:rPr>
              <w:t xml:space="preserve">. </w:t>
            </w:r>
            <w:r w:rsidR="0091398A">
              <w:rPr>
                <w:rFonts w:cs="Arial"/>
                <w:iCs/>
              </w:rPr>
              <w:t>The group w</w:t>
            </w:r>
            <w:r w:rsidR="007E69B7" w:rsidRPr="00873278">
              <w:rPr>
                <w:rFonts w:cs="Arial"/>
                <w:iCs/>
              </w:rPr>
              <w:t xml:space="preserve">ould like to </w:t>
            </w:r>
            <w:r w:rsidR="0091398A">
              <w:rPr>
                <w:rFonts w:cs="Arial"/>
                <w:iCs/>
              </w:rPr>
              <w:t xml:space="preserve">continue </w:t>
            </w:r>
            <w:r w:rsidR="007E69B7" w:rsidRPr="00873278">
              <w:rPr>
                <w:rFonts w:cs="Arial"/>
                <w:iCs/>
              </w:rPr>
              <w:t xml:space="preserve">spotlighting what different TTCs are doing for evaluation and monitoring. </w:t>
            </w:r>
            <w:r w:rsidR="00B36F8B">
              <w:rPr>
                <w:rFonts w:cs="Arial"/>
                <w:iCs/>
              </w:rPr>
              <w:t>Please connect with Megan or Liz if interested in sharing what your TTC is doing regar</w:t>
            </w:r>
            <w:r>
              <w:rPr>
                <w:rFonts w:cs="Arial"/>
                <w:iCs/>
              </w:rPr>
              <w:t xml:space="preserve">ding evaluation and monitoring, and/or suggestions for agenda items. </w:t>
            </w:r>
          </w:p>
        </w:tc>
      </w:tr>
    </w:tbl>
    <w:p w14:paraId="07055B30" w14:textId="19523E3B" w:rsidR="00985574" w:rsidRPr="00873278" w:rsidRDefault="00985574" w:rsidP="00873278">
      <w:pPr>
        <w:rPr>
          <w:b/>
        </w:rPr>
      </w:pPr>
      <w:bookmarkStart w:id="1" w:name="_GoBack"/>
      <w:bookmarkEnd w:id="1"/>
    </w:p>
    <w:sectPr w:rsidR="00985574" w:rsidRPr="008732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ADC1" w14:textId="77777777" w:rsidR="00E939A7" w:rsidRDefault="00E939A7" w:rsidP="00740FE2">
      <w:pPr>
        <w:spacing w:after="0" w:line="240" w:lineRule="auto"/>
      </w:pPr>
      <w:r>
        <w:separator/>
      </w:r>
    </w:p>
  </w:endnote>
  <w:endnote w:type="continuationSeparator" w:id="0">
    <w:p w14:paraId="1B9BF900" w14:textId="77777777" w:rsidR="00E939A7" w:rsidRDefault="00E939A7" w:rsidP="0074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FC90" w14:textId="77777777" w:rsidR="00E939A7" w:rsidRDefault="00E939A7" w:rsidP="00740FE2">
      <w:pPr>
        <w:spacing w:after="0" w:line="240" w:lineRule="auto"/>
      </w:pPr>
      <w:r>
        <w:separator/>
      </w:r>
    </w:p>
  </w:footnote>
  <w:footnote w:type="continuationSeparator" w:id="0">
    <w:p w14:paraId="7DB3545A" w14:textId="77777777" w:rsidR="00E939A7" w:rsidRDefault="00E939A7" w:rsidP="0074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D4"/>
    <w:multiLevelType w:val="hybridMultilevel"/>
    <w:tmpl w:val="0AA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6181"/>
    <w:multiLevelType w:val="hybridMultilevel"/>
    <w:tmpl w:val="CF6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5904"/>
    <w:multiLevelType w:val="hybridMultilevel"/>
    <w:tmpl w:val="4A2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503DD"/>
    <w:multiLevelType w:val="hybridMultilevel"/>
    <w:tmpl w:val="B5D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A1993"/>
    <w:multiLevelType w:val="hybridMultilevel"/>
    <w:tmpl w:val="A712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957CC"/>
    <w:multiLevelType w:val="hybridMultilevel"/>
    <w:tmpl w:val="D9D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D22F2"/>
    <w:multiLevelType w:val="hybridMultilevel"/>
    <w:tmpl w:val="D60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96B6F"/>
    <w:multiLevelType w:val="hybridMultilevel"/>
    <w:tmpl w:val="928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61352"/>
    <w:multiLevelType w:val="hybridMultilevel"/>
    <w:tmpl w:val="E9E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E139C"/>
    <w:multiLevelType w:val="hybridMultilevel"/>
    <w:tmpl w:val="D33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337CE"/>
    <w:multiLevelType w:val="hybridMultilevel"/>
    <w:tmpl w:val="4FD6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27383"/>
    <w:multiLevelType w:val="hybridMultilevel"/>
    <w:tmpl w:val="84FA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8"/>
  </w:num>
  <w:num w:numId="6">
    <w:abstractNumId w:val="1"/>
  </w:num>
  <w:num w:numId="7">
    <w:abstractNumId w:val="4"/>
  </w:num>
  <w:num w:numId="8">
    <w:abstractNumId w:val="9"/>
  </w:num>
  <w:num w:numId="9">
    <w:abstractNumId w:val="10"/>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8F"/>
    <w:rsid w:val="0003195A"/>
    <w:rsid w:val="00067692"/>
    <w:rsid w:val="0007613B"/>
    <w:rsid w:val="0009284D"/>
    <w:rsid w:val="00092AC3"/>
    <w:rsid w:val="000A123F"/>
    <w:rsid w:val="000A3D7A"/>
    <w:rsid w:val="000C2EF1"/>
    <w:rsid w:val="000F5431"/>
    <w:rsid w:val="00102C93"/>
    <w:rsid w:val="00124945"/>
    <w:rsid w:val="00152977"/>
    <w:rsid w:val="001616DF"/>
    <w:rsid w:val="0018163C"/>
    <w:rsid w:val="001D0956"/>
    <w:rsid w:val="002331B8"/>
    <w:rsid w:val="00256887"/>
    <w:rsid w:val="00294444"/>
    <w:rsid w:val="002A321A"/>
    <w:rsid w:val="002A4C7E"/>
    <w:rsid w:val="002C1DCC"/>
    <w:rsid w:val="002C604C"/>
    <w:rsid w:val="002F2512"/>
    <w:rsid w:val="002F3F14"/>
    <w:rsid w:val="0034053F"/>
    <w:rsid w:val="00340955"/>
    <w:rsid w:val="00350B24"/>
    <w:rsid w:val="0039722B"/>
    <w:rsid w:val="003C26F1"/>
    <w:rsid w:val="00402720"/>
    <w:rsid w:val="004152F9"/>
    <w:rsid w:val="00421E41"/>
    <w:rsid w:val="00425121"/>
    <w:rsid w:val="00443B5C"/>
    <w:rsid w:val="00467FA7"/>
    <w:rsid w:val="00482E78"/>
    <w:rsid w:val="00496CB4"/>
    <w:rsid w:val="00507867"/>
    <w:rsid w:val="00507B16"/>
    <w:rsid w:val="005551F4"/>
    <w:rsid w:val="005872E9"/>
    <w:rsid w:val="006105DD"/>
    <w:rsid w:val="0061212F"/>
    <w:rsid w:val="0062641C"/>
    <w:rsid w:val="00633165"/>
    <w:rsid w:val="00677150"/>
    <w:rsid w:val="006A3FF3"/>
    <w:rsid w:val="006B7D26"/>
    <w:rsid w:val="006F4025"/>
    <w:rsid w:val="00724F0E"/>
    <w:rsid w:val="00740FE2"/>
    <w:rsid w:val="0074149C"/>
    <w:rsid w:val="00750D49"/>
    <w:rsid w:val="00757F08"/>
    <w:rsid w:val="00761DAA"/>
    <w:rsid w:val="00795D7F"/>
    <w:rsid w:val="007B49AE"/>
    <w:rsid w:val="007D475E"/>
    <w:rsid w:val="007E5174"/>
    <w:rsid w:val="007E69B7"/>
    <w:rsid w:val="00823A37"/>
    <w:rsid w:val="00855AA7"/>
    <w:rsid w:val="00873278"/>
    <w:rsid w:val="00896673"/>
    <w:rsid w:val="008F1B4A"/>
    <w:rsid w:val="008F4AC5"/>
    <w:rsid w:val="008F6A67"/>
    <w:rsid w:val="00905134"/>
    <w:rsid w:val="0091398A"/>
    <w:rsid w:val="0091398C"/>
    <w:rsid w:val="00917F18"/>
    <w:rsid w:val="0092398B"/>
    <w:rsid w:val="009567CB"/>
    <w:rsid w:val="00964D64"/>
    <w:rsid w:val="00985574"/>
    <w:rsid w:val="00992850"/>
    <w:rsid w:val="00996D1B"/>
    <w:rsid w:val="009B31BC"/>
    <w:rsid w:val="00A25911"/>
    <w:rsid w:val="00A31002"/>
    <w:rsid w:val="00A51FB4"/>
    <w:rsid w:val="00A57E96"/>
    <w:rsid w:val="00A753DA"/>
    <w:rsid w:val="00A85B76"/>
    <w:rsid w:val="00AA0451"/>
    <w:rsid w:val="00AB0166"/>
    <w:rsid w:val="00AB20B5"/>
    <w:rsid w:val="00B07A01"/>
    <w:rsid w:val="00B11C70"/>
    <w:rsid w:val="00B36F8B"/>
    <w:rsid w:val="00B62D89"/>
    <w:rsid w:val="00B81D9E"/>
    <w:rsid w:val="00BA4AA2"/>
    <w:rsid w:val="00BA566E"/>
    <w:rsid w:val="00BA5745"/>
    <w:rsid w:val="00BF7AD7"/>
    <w:rsid w:val="00C009B8"/>
    <w:rsid w:val="00C20B12"/>
    <w:rsid w:val="00C33A97"/>
    <w:rsid w:val="00C52CBC"/>
    <w:rsid w:val="00C646FE"/>
    <w:rsid w:val="00CA1B52"/>
    <w:rsid w:val="00CA4A06"/>
    <w:rsid w:val="00CE4AAB"/>
    <w:rsid w:val="00CF609B"/>
    <w:rsid w:val="00D34D3A"/>
    <w:rsid w:val="00D420BD"/>
    <w:rsid w:val="00D454C4"/>
    <w:rsid w:val="00D63C8D"/>
    <w:rsid w:val="00D731E4"/>
    <w:rsid w:val="00DA0F1D"/>
    <w:rsid w:val="00DA2B62"/>
    <w:rsid w:val="00DC2568"/>
    <w:rsid w:val="00DC467D"/>
    <w:rsid w:val="00DF6F49"/>
    <w:rsid w:val="00E208D7"/>
    <w:rsid w:val="00E41196"/>
    <w:rsid w:val="00E721B5"/>
    <w:rsid w:val="00E939A7"/>
    <w:rsid w:val="00EC4772"/>
    <w:rsid w:val="00ED0568"/>
    <w:rsid w:val="00F01455"/>
    <w:rsid w:val="00F0552F"/>
    <w:rsid w:val="00F7758F"/>
    <w:rsid w:val="00FA1A5F"/>
    <w:rsid w:val="00FC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2D35"/>
  <w15:chartTrackingRefBased/>
  <w15:docId w15:val="{9CD69A86-337E-44CE-B456-26F5594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8F"/>
    <w:pPr>
      <w:ind w:left="720"/>
      <w:contextualSpacing/>
    </w:pPr>
  </w:style>
  <w:style w:type="character" w:styleId="Hyperlink">
    <w:name w:val="Hyperlink"/>
    <w:basedOn w:val="DefaultParagraphFont"/>
    <w:uiPriority w:val="99"/>
    <w:unhideWhenUsed/>
    <w:rsid w:val="00E721B5"/>
    <w:rPr>
      <w:color w:val="0563C1" w:themeColor="hyperlink"/>
      <w:u w:val="single"/>
    </w:rPr>
  </w:style>
  <w:style w:type="paragraph" w:customStyle="1" w:styleId="xmsolistparagraph">
    <w:name w:val="x_msolistparagraph"/>
    <w:basedOn w:val="Normal"/>
    <w:rsid w:val="0061212F"/>
    <w:pPr>
      <w:spacing w:after="0" w:line="240" w:lineRule="auto"/>
    </w:pPr>
    <w:rPr>
      <w:rFonts w:ascii="Times New Roman" w:hAnsi="Times New Roman" w:cs="Times New Roman"/>
      <w:sz w:val="24"/>
      <w:szCs w:val="24"/>
    </w:rPr>
  </w:style>
  <w:style w:type="table" w:styleId="TableGrid">
    <w:name w:val="Table Grid"/>
    <w:basedOn w:val="TableNormal"/>
    <w:uiPriority w:val="39"/>
    <w:rsid w:val="0050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50"/>
    <w:rPr>
      <w:rFonts w:ascii="Segoe UI" w:hAnsi="Segoe UI" w:cs="Segoe UI"/>
      <w:sz w:val="18"/>
      <w:szCs w:val="18"/>
    </w:rPr>
  </w:style>
  <w:style w:type="paragraph" w:styleId="Header">
    <w:name w:val="header"/>
    <w:basedOn w:val="Normal"/>
    <w:link w:val="HeaderChar"/>
    <w:uiPriority w:val="99"/>
    <w:unhideWhenUsed/>
    <w:rsid w:val="0074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FE2"/>
  </w:style>
  <w:style w:type="paragraph" w:styleId="Footer">
    <w:name w:val="footer"/>
    <w:basedOn w:val="Normal"/>
    <w:link w:val="FooterChar"/>
    <w:uiPriority w:val="99"/>
    <w:unhideWhenUsed/>
    <w:rsid w:val="0074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E2"/>
  </w:style>
  <w:style w:type="table" w:customStyle="1" w:styleId="PCGGeneralTable1">
    <w:name w:val="PCG General Table1"/>
    <w:basedOn w:val="TableGrid1"/>
    <w:next w:val="TableGridLight"/>
    <w:uiPriority w:val="40"/>
    <w:rsid w:val="00CA1B52"/>
    <w:rPr>
      <w:rFonts w:ascii="Arial" w:eastAsia="Times New Roman" w:hAnsi="Arial" w:cs="Times New Roman"/>
      <w:sz w:val="20"/>
      <w:szCs w:val="20"/>
      <w:lang w:eastAsia="ja-JP"/>
    </w:rPr>
    <w:tblPr>
      <w:tblStyleRowBandSize w:val="1"/>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tblPr>
    <w:tcPr>
      <w:shd w:val="clear" w:color="auto" w:fill="auto"/>
      <w:vAlign w:val="center"/>
    </w:tcPr>
    <w:tblStylePr w:type="firstRow">
      <w:rPr>
        <w:rFonts w:ascii="Arial" w:hAnsi="Arial"/>
        <w:b/>
        <w:color w:val="00A0CA"/>
        <w:sz w:val="22"/>
      </w:rPr>
    </w:tblStylePr>
    <w:tblStylePr w:type="lastRow">
      <w:rPr>
        <w:b/>
        <w:i/>
        <w:iCs/>
        <w:color w:val="00A0CA"/>
      </w:rPr>
      <w:tblPr/>
      <w:tcPr>
        <w:tcBorders>
          <w:tl2br w:val="none" w:sz="0" w:space="0" w:color="auto"/>
          <w:tr2bl w:val="none" w:sz="0" w:space="0" w:color="auto"/>
        </w:tcBorders>
        <w:shd w:val="clear" w:color="auto" w:fill="F2F2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cPr>
    </w:tblStylePr>
  </w:style>
  <w:style w:type="table" w:styleId="TableGrid1">
    <w:name w:val="Table Grid 1"/>
    <w:basedOn w:val="TableNormal"/>
    <w:uiPriority w:val="99"/>
    <w:semiHidden/>
    <w:unhideWhenUsed/>
    <w:rsid w:val="00CA1B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CA1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B3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1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e2lKgGoOR5w9OmXWC0CVNpOZPh8VNxk7RgOkKX-HGZx-d2aw/view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5CD7FB17D704D89296066F0BBF8DB" ma:contentTypeVersion="6" ma:contentTypeDescription="Create a new document." ma:contentTypeScope="" ma:versionID="d3ed66b57506b957ec0f01b307777670">
  <xsd:schema xmlns:xsd="http://www.w3.org/2001/XMLSchema" xmlns:xs="http://www.w3.org/2001/XMLSchema" xmlns:p="http://schemas.microsoft.com/office/2006/metadata/properties" xmlns:ns2="77a020fb-c989-4b66-829e-d7baf3f49576" targetNamespace="http://schemas.microsoft.com/office/2006/metadata/properties" ma:root="true" ma:fieldsID="8e496372e4de7ff03768c283e9116ffb" ns2:_="">
    <xsd:import namespace="77a020fb-c989-4b66-829e-d7baf3f495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20fb-c989-4b66-829e-d7baf3f49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36C8-923E-41AA-B41D-612A03824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FDDE8-0941-4658-B962-098C5AED2517}">
  <ds:schemaRefs>
    <ds:schemaRef ds:uri="http://schemas.microsoft.com/sharepoint/v3/contenttype/forms"/>
  </ds:schemaRefs>
</ds:datastoreItem>
</file>

<file path=customXml/itemProps3.xml><?xml version="1.0" encoding="utf-8"?>
<ds:datastoreItem xmlns:ds="http://schemas.openxmlformats.org/officeDocument/2006/customXml" ds:itemID="{993BE0A4-2478-41BD-B25C-B349A280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20fb-c989-4b66-829e-d7baf3f49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F262F-8B16-4CEE-81CF-2CAA0647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Mallula, Kate</dc:creator>
  <cp:keywords/>
  <dc:description/>
  <cp:lastModifiedBy>Halsall, Viannella</cp:lastModifiedBy>
  <cp:revision>26</cp:revision>
  <dcterms:created xsi:type="dcterms:W3CDTF">2020-07-22T17:18:00Z</dcterms:created>
  <dcterms:modified xsi:type="dcterms:W3CDTF">2020-07-22T21:13:00Z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0x010100D0B5CD7FB17D704D89296066F0BBF8DB</vt:lpwstr>
  </property>
</Properties>
</file>