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46DB5" w14:textId="71778988" w:rsidR="00430D00" w:rsidRDefault="00430D00" w:rsidP="00B0177F">
      <w:pPr>
        <w:spacing w:after="120"/>
      </w:pPr>
      <w:bookmarkStart w:id="0" w:name="_GoBack"/>
      <w:bookmarkEnd w:id="0"/>
      <w:r w:rsidRPr="00430D00">
        <w:rPr>
          <w:b/>
        </w:rPr>
        <w:t>Title</w:t>
      </w:r>
      <w:r>
        <w:t>: Virtual Access to Training and Technical Assistance</w:t>
      </w:r>
    </w:p>
    <w:p w14:paraId="6FBFB16A" w14:textId="1AB7BA8F" w:rsidR="00430D00" w:rsidRDefault="00430D00" w:rsidP="00430D00">
      <w:pPr>
        <w:spacing w:after="120"/>
      </w:pPr>
      <w:r w:rsidRPr="00430D00">
        <w:rPr>
          <w:b/>
        </w:rPr>
        <w:t>Authorship</w:t>
      </w:r>
      <w:r>
        <w:t>: TTC Virtual Workgroup</w:t>
      </w:r>
    </w:p>
    <w:p w14:paraId="6E7491D1" w14:textId="43827704" w:rsidR="00430D00" w:rsidRPr="00430D00" w:rsidRDefault="00430D00" w:rsidP="00430D00">
      <w:pPr>
        <w:spacing w:after="120"/>
      </w:pPr>
      <w:r w:rsidRPr="00430D00">
        <w:rPr>
          <w:b/>
        </w:rPr>
        <w:t>Contributing Authors</w:t>
      </w:r>
      <w:r>
        <w:t xml:space="preserve">: Michael Chaple, PhD (NeC-ATTC); Maxine Henry, MSW, MBA (National Hispanic and Latino ATTC); and Kristen Gilmore Powell, PhD, LSW (NeC-PTTC) </w:t>
      </w:r>
    </w:p>
    <w:p w14:paraId="42C37AE2" w14:textId="0A8F5530" w:rsidR="00430D00" w:rsidRDefault="00430D00" w:rsidP="00430D00">
      <w:pPr>
        <w:spacing w:after="120"/>
      </w:pPr>
      <w:r>
        <w:rPr>
          <w:b/>
        </w:rPr>
        <w:t>Purpose</w:t>
      </w:r>
      <w:r w:rsidR="00366B2C">
        <w:t xml:space="preserve">: </w:t>
      </w:r>
      <w:r w:rsidR="00317326">
        <w:t>In the wak</w:t>
      </w:r>
      <w:r w:rsidR="00B0177F">
        <w:t>e of the COVID-19 pandemic, TTC</w:t>
      </w:r>
      <w:r w:rsidR="00317326">
        <w:t xml:space="preserve"> network </w:t>
      </w:r>
      <w:r w:rsidR="002E57AE">
        <w:t xml:space="preserve">grantees </w:t>
      </w:r>
      <w:r w:rsidR="00317326">
        <w:t>had to rapidly adapt to ensure that the behavioral health workforce had continuous access to remote training and technical assistance</w:t>
      </w:r>
      <w:r w:rsidR="005149CC">
        <w:t xml:space="preserve"> (TTA)</w:t>
      </w:r>
      <w:r w:rsidR="00317326">
        <w:t>.</w:t>
      </w:r>
      <w:r w:rsidR="005149CC">
        <w:t xml:space="preserve"> Although TTCs have historically relied in part upon virtual methods for delivering TTA, the </w:t>
      </w:r>
      <w:r w:rsidR="000B24C1">
        <w:t xml:space="preserve">shift to a </w:t>
      </w:r>
      <w:r w:rsidR="005149CC">
        <w:t xml:space="preserve">strictly </w:t>
      </w:r>
      <w:r>
        <w:t>virtual</w:t>
      </w:r>
      <w:r w:rsidR="005149CC">
        <w:t xml:space="preserve"> approach </w:t>
      </w:r>
      <w:r w:rsidR="000B24C1">
        <w:t xml:space="preserve">necessitated by the COVID-19 pandemic </w:t>
      </w:r>
      <w:r w:rsidR="005149CC">
        <w:t xml:space="preserve">has resulted in lessons learned and new questions for how to best proceed </w:t>
      </w:r>
      <w:r w:rsidR="003B7A8F">
        <w:t xml:space="preserve">with </w:t>
      </w:r>
      <w:r w:rsidR="000B24C1">
        <w:t>TTA provision</w:t>
      </w:r>
      <w:r w:rsidR="003B7A8F">
        <w:t xml:space="preserve"> when social distancing guidelines </w:t>
      </w:r>
      <w:r w:rsidR="000B24C1">
        <w:t>are</w:t>
      </w:r>
      <w:r w:rsidR="003B7A8F">
        <w:t xml:space="preserve"> relaxed</w:t>
      </w:r>
      <w:r w:rsidR="005149CC">
        <w:t>.</w:t>
      </w:r>
      <w:r w:rsidR="003B7A8F">
        <w:t xml:space="preserve"> </w:t>
      </w:r>
      <w:r w:rsidR="00345599">
        <w:t xml:space="preserve">Initial impressions </w:t>
      </w:r>
      <w:r w:rsidR="000B24C1">
        <w:t>among</w:t>
      </w:r>
      <w:r w:rsidR="005149CC">
        <w:t xml:space="preserve"> </w:t>
      </w:r>
      <w:r w:rsidR="00345599">
        <w:t>TTC grantees reveal a perception that TTA delivere</w:t>
      </w:r>
      <w:r w:rsidR="005B0295">
        <w:t>d virtually offers significant</w:t>
      </w:r>
      <w:r w:rsidR="00345599">
        <w:t xml:space="preserve"> advantages, particularly with regard to </w:t>
      </w:r>
      <w:r w:rsidR="005B0295">
        <w:t xml:space="preserve">its ability to expand access to our </w:t>
      </w:r>
      <w:r w:rsidR="007256A5">
        <w:t xml:space="preserve">TTA </w:t>
      </w:r>
      <w:r w:rsidR="005B0295">
        <w:t>services</w:t>
      </w:r>
      <w:r w:rsidR="007256A5">
        <w:t xml:space="preserve"> and activities</w:t>
      </w:r>
      <w:r w:rsidR="005B0295">
        <w:t xml:space="preserve">. </w:t>
      </w:r>
      <w:r w:rsidR="00D2425B">
        <w:t xml:space="preserve">Using </w:t>
      </w:r>
      <w:r w:rsidR="00F70558">
        <w:t>GPRA</w:t>
      </w:r>
      <w:r w:rsidR="000B24C1">
        <w:t xml:space="preserve"> data</w:t>
      </w:r>
      <w:r w:rsidR="00F70558">
        <w:t xml:space="preserve">, this paper will compare </w:t>
      </w:r>
      <w:r>
        <w:t>TTA</w:t>
      </w:r>
      <w:r w:rsidR="00F70558">
        <w:t xml:space="preserve"> provis</w:t>
      </w:r>
      <w:r w:rsidR="000B24C1">
        <w:t>ion in the six-month period prior to (9/1/19 thru 2/28/20) and since (</w:t>
      </w:r>
      <w:r w:rsidR="00F70558">
        <w:t xml:space="preserve">4/1/20 thru 9/30/20) </w:t>
      </w:r>
      <w:r>
        <w:t xml:space="preserve">the pandemic </w:t>
      </w:r>
      <w:r w:rsidR="00F70558">
        <w:t>to explore</w:t>
      </w:r>
      <w:r>
        <w:t xml:space="preserve"> </w:t>
      </w:r>
      <w:r w:rsidR="00D2425B">
        <w:t xml:space="preserve">the extent to which TTC services delivered virtually has </w:t>
      </w:r>
      <w:r>
        <w:t xml:space="preserve">impacted provider access to TTA </w:t>
      </w:r>
      <w:r w:rsidR="000B24C1">
        <w:t>and</w:t>
      </w:r>
      <w:r>
        <w:t xml:space="preserve"> perceptions of TTA </w:t>
      </w:r>
      <w:r w:rsidR="008E25F2">
        <w:t>satisfaction and utility</w:t>
      </w:r>
      <w:r>
        <w:t xml:space="preserve">. </w:t>
      </w:r>
    </w:p>
    <w:p w14:paraId="36113657" w14:textId="4D5E7109" w:rsidR="00430D00" w:rsidRDefault="00430D00" w:rsidP="00394ADB">
      <w:pPr>
        <w:spacing w:after="120"/>
      </w:pPr>
      <w:r w:rsidRPr="00430D00">
        <w:rPr>
          <w:b/>
        </w:rPr>
        <w:t>Hypotheses</w:t>
      </w:r>
      <w:r>
        <w:t xml:space="preserve">: </w:t>
      </w:r>
    </w:p>
    <w:p w14:paraId="6C7D4D39" w14:textId="64DF5A32" w:rsidR="00394ADB" w:rsidRDefault="00394ADB" w:rsidP="00086E2B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Virtual delivery of TTA will </w:t>
      </w:r>
      <w:r w:rsidR="005A3654">
        <w:t>result in improved provider access; specifically:</w:t>
      </w:r>
    </w:p>
    <w:p w14:paraId="02E03230" w14:textId="4FD07B5B" w:rsidR="00394ADB" w:rsidRDefault="00394ADB" w:rsidP="00086E2B">
      <w:pPr>
        <w:pStyle w:val="ListParagraph"/>
        <w:numPr>
          <w:ilvl w:val="1"/>
          <w:numId w:val="3"/>
        </w:numPr>
        <w:spacing w:after="60"/>
        <w:contextualSpacing w:val="0"/>
      </w:pPr>
      <w:r>
        <w:t xml:space="preserve">More </w:t>
      </w:r>
      <w:r w:rsidR="005A3654">
        <w:t>providers</w:t>
      </w:r>
      <w:r>
        <w:t xml:space="preserve"> (total N) will have accessed </w:t>
      </w:r>
      <w:r w:rsidR="005A3654">
        <w:t>TTA in the six-months following COVID-19 compared to the six-months prior to COVID-19;</w:t>
      </w:r>
    </w:p>
    <w:p w14:paraId="1C3346D6" w14:textId="7D581B5E" w:rsidR="005A3654" w:rsidRDefault="005A3654" w:rsidP="00086E2B">
      <w:pPr>
        <w:pStyle w:val="ListParagraph"/>
        <w:numPr>
          <w:ilvl w:val="1"/>
          <w:numId w:val="3"/>
        </w:numPr>
        <w:spacing w:after="60"/>
        <w:contextualSpacing w:val="0"/>
      </w:pPr>
      <w:r>
        <w:t xml:space="preserve">Geographic reach (determined by TTA participant zip codes) will be greater in the six-months following COVID-19 compared to the six-months prior to COVID-19 (expecting increased access especially in more rural areas); </w:t>
      </w:r>
    </w:p>
    <w:p w14:paraId="3D1C2F87" w14:textId="576F9845" w:rsidR="005A3654" w:rsidRDefault="008E25F2" w:rsidP="00086E2B">
      <w:pPr>
        <w:pStyle w:val="ListParagraph"/>
        <w:numPr>
          <w:ilvl w:val="1"/>
          <w:numId w:val="3"/>
        </w:numPr>
        <w:spacing w:after="120"/>
        <w:contextualSpacing w:val="0"/>
      </w:pPr>
      <w:r>
        <w:t xml:space="preserve">A shift in </w:t>
      </w:r>
      <w:r w:rsidR="00F67A3D">
        <w:t>access to TTA</w:t>
      </w:r>
      <w:r>
        <w:t xml:space="preserve"> may be evident </w:t>
      </w:r>
      <w:r w:rsidR="00F67A3D">
        <w:t>regarding</w:t>
      </w:r>
      <w:r>
        <w:t xml:space="preserve"> </w:t>
      </w:r>
      <w:r w:rsidR="00F67A3D">
        <w:t xml:space="preserve">participant </w:t>
      </w:r>
      <w:r>
        <w:t>demographics (age, race/et</w:t>
      </w:r>
      <w:r w:rsidR="00F67A3D">
        <w:t xml:space="preserve">hnicity, education), discipline, and </w:t>
      </w:r>
      <w:r>
        <w:t xml:space="preserve">employment setting. </w:t>
      </w:r>
    </w:p>
    <w:p w14:paraId="2F403F01" w14:textId="519FB16E" w:rsidR="00394ADB" w:rsidRDefault="003054A5" w:rsidP="00394AD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Virtual delivery of </w:t>
      </w:r>
      <w:r w:rsidR="00394ADB">
        <w:t xml:space="preserve">TTA </w:t>
      </w:r>
      <w:r w:rsidR="007623C9">
        <w:t xml:space="preserve">will not result in </w:t>
      </w:r>
      <w:r>
        <w:t>significant changes to participant perceptions; specifically:</w:t>
      </w:r>
      <w:r w:rsidR="00394ADB">
        <w:t xml:space="preserve"> </w:t>
      </w:r>
    </w:p>
    <w:p w14:paraId="20F99A34" w14:textId="4023599F" w:rsidR="003054A5" w:rsidRDefault="00410537" w:rsidP="00086E2B">
      <w:pPr>
        <w:pStyle w:val="ListParagraph"/>
        <w:numPr>
          <w:ilvl w:val="1"/>
          <w:numId w:val="4"/>
        </w:numPr>
        <w:spacing w:after="120"/>
        <w:contextualSpacing w:val="0"/>
      </w:pPr>
      <w:r>
        <w:t>Provi</w:t>
      </w:r>
      <w:r w:rsidR="007623C9">
        <w:t>ders who accessed TTA in the 6</w:t>
      </w:r>
      <w:r>
        <w:t>-months fo</w:t>
      </w:r>
      <w:r w:rsidR="00924F1D">
        <w:t xml:space="preserve">llowing COVID-19 will express </w:t>
      </w:r>
      <w:r>
        <w:t>similar level</w:t>
      </w:r>
      <w:r w:rsidR="00924F1D">
        <w:t>s</w:t>
      </w:r>
      <w:r>
        <w:t xml:space="preserve"> of satisfaction </w:t>
      </w:r>
      <w:r w:rsidR="007623C9">
        <w:t xml:space="preserve">with services </w:t>
      </w:r>
      <w:r>
        <w:t xml:space="preserve">to those </w:t>
      </w:r>
      <w:r w:rsidR="007623C9">
        <w:t>who accessed TTA in the 6</w:t>
      </w:r>
      <w:r>
        <w:t xml:space="preserve">-months prior to COVID-19; </w:t>
      </w:r>
    </w:p>
    <w:p w14:paraId="2B10E2E6" w14:textId="4ED6F118" w:rsidR="00410537" w:rsidRDefault="00410537" w:rsidP="00086E2B">
      <w:pPr>
        <w:pStyle w:val="ListParagraph"/>
        <w:numPr>
          <w:ilvl w:val="1"/>
          <w:numId w:val="4"/>
        </w:numPr>
        <w:spacing w:after="120"/>
        <w:contextualSpacing w:val="0"/>
      </w:pPr>
      <w:r>
        <w:t>Providers who accessed T</w:t>
      </w:r>
      <w:r w:rsidR="007623C9">
        <w:t>TA in the 6</w:t>
      </w:r>
      <w:r>
        <w:t xml:space="preserve">-months following COVID-19 will perceive the services received to be as useful as those who accessed TTA in the </w:t>
      </w:r>
      <w:r w:rsidR="007623C9">
        <w:t>6</w:t>
      </w:r>
      <w:r w:rsidR="00F72CA3">
        <w:t>-months prior to COVID-19</w:t>
      </w:r>
      <w:r>
        <w:t xml:space="preserve">: </w:t>
      </w:r>
    </w:p>
    <w:p w14:paraId="1A8FF3C8" w14:textId="7211E55D" w:rsidR="00410537" w:rsidRDefault="00410537" w:rsidP="00E65BCA">
      <w:pPr>
        <w:pStyle w:val="ListParagraph"/>
        <w:numPr>
          <w:ilvl w:val="2"/>
          <w:numId w:val="2"/>
        </w:numPr>
        <w:spacing w:after="60"/>
        <w:ind w:left="2174" w:hanging="187"/>
        <w:contextualSpacing w:val="0"/>
      </w:pPr>
      <w:r>
        <w:t>Expectations that event will benefit professional development;</w:t>
      </w:r>
    </w:p>
    <w:p w14:paraId="34E937E4" w14:textId="4C545119" w:rsidR="00410537" w:rsidRDefault="00410537" w:rsidP="00E65BCA">
      <w:pPr>
        <w:pStyle w:val="ListParagraph"/>
        <w:numPr>
          <w:ilvl w:val="2"/>
          <w:numId w:val="2"/>
        </w:numPr>
        <w:spacing w:after="60"/>
        <w:ind w:left="2174" w:hanging="187"/>
        <w:contextualSpacing w:val="0"/>
      </w:pPr>
      <w:r>
        <w:t>Intent to use the information gained to change current practice;</w:t>
      </w:r>
    </w:p>
    <w:p w14:paraId="2BAF81EF" w14:textId="107538DA" w:rsidR="00430D00" w:rsidRDefault="00410537" w:rsidP="00CF359B">
      <w:pPr>
        <w:pStyle w:val="ListParagraph"/>
        <w:numPr>
          <w:ilvl w:val="2"/>
          <w:numId w:val="2"/>
        </w:numPr>
        <w:spacing w:after="120"/>
        <w:contextualSpacing w:val="0"/>
      </w:pPr>
      <w:r>
        <w:t>Willingness to recommend the services to a colleague</w:t>
      </w:r>
    </w:p>
    <w:p w14:paraId="3EDD9FC7" w14:textId="278978C8" w:rsidR="00086E2B" w:rsidRPr="00E65BCA" w:rsidRDefault="00086E2B" w:rsidP="00E65BCA">
      <w:pPr>
        <w:spacing w:after="120"/>
      </w:pPr>
      <w:r>
        <w:rPr>
          <w:b/>
        </w:rPr>
        <w:t>Note</w:t>
      </w:r>
      <w:r w:rsidRPr="00086E2B">
        <w:rPr>
          <w:b/>
        </w:rPr>
        <w:t xml:space="preserve">: </w:t>
      </w:r>
      <w:r>
        <w:t>Analyses will examine network trends with regard to TTA access (hypothesis 1)</w:t>
      </w:r>
      <w:r w:rsidR="00E65BCA">
        <w:t xml:space="preserve"> where appropriate</w:t>
      </w:r>
      <w:r>
        <w:t xml:space="preserve"> to explore any notable differences among the prevention, mental health, and substance use workforce.  If differences exist, data presented will focus on the magnitude of change </w:t>
      </w:r>
      <w:r w:rsidR="00E65BCA">
        <w:t>(e.g., % increase) rather than a comparison of raw numbers to avoid any inclination on the part of the reviewers or readers to interpret results in terms of the relative productivity of these respective TTC networks</w:t>
      </w:r>
      <w:r>
        <w:t>.</w:t>
      </w:r>
      <w:r w:rsidR="00E65BCA">
        <w:t xml:space="preserve"> </w:t>
      </w:r>
      <w:r>
        <w:t xml:space="preserve"> </w:t>
      </w:r>
      <w:r w:rsidR="004E6F0A">
        <w:t>However, at no time will individual grantees be highlighted or distinguishable; all data will be reported aggregately</w:t>
      </w:r>
      <w:r w:rsidR="00E65BCA">
        <w:t xml:space="preserve">. </w:t>
      </w:r>
    </w:p>
    <w:p w14:paraId="54B90EE5" w14:textId="75E82B4A" w:rsidR="007B4095" w:rsidRPr="00B0177F" w:rsidRDefault="00B0177F" w:rsidP="00B0177F">
      <w:pPr>
        <w:rPr>
          <w:b/>
        </w:rPr>
      </w:pPr>
      <w:r>
        <w:rPr>
          <w:b/>
        </w:rPr>
        <w:t>Data Available</w:t>
      </w:r>
      <w:r w:rsidR="007B4095" w:rsidRPr="00B0177F">
        <w:rPr>
          <w:b/>
        </w:rPr>
        <w:t>:</w:t>
      </w:r>
    </w:p>
    <w:p w14:paraId="5E15B0A9" w14:textId="204E4797" w:rsidR="007B4095" w:rsidRDefault="00CF359B" w:rsidP="00B0177F">
      <w:pPr>
        <w:pStyle w:val="ListParagraph"/>
        <w:numPr>
          <w:ilvl w:val="1"/>
          <w:numId w:val="1"/>
        </w:numPr>
      </w:pPr>
      <w:r>
        <w:t xml:space="preserve">Post Event </w:t>
      </w:r>
      <w:r w:rsidR="00703194">
        <w:t>GPRA</w:t>
      </w:r>
      <w:r w:rsidR="00E673F9">
        <w:t xml:space="preserve"> </w:t>
      </w:r>
      <w:r w:rsidR="00F72CA3">
        <w:t>forms</w:t>
      </w:r>
    </w:p>
    <w:p w14:paraId="6959D5EE" w14:textId="762C06CB" w:rsidR="00CF359B" w:rsidRDefault="007B4095" w:rsidP="007B4095">
      <w:pPr>
        <w:pStyle w:val="ListParagraph"/>
        <w:numPr>
          <w:ilvl w:val="1"/>
          <w:numId w:val="1"/>
        </w:numPr>
      </w:pPr>
      <w:r>
        <w:t>Event Description Forms</w:t>
      </w:r>
    </w:p>
    <w:p w14:paraId="10F58FF0" w14:textId="77777777" w:rsidR="007B4095" w:rsidRDefault="007B4095" w:rsidP="007B4095">
      <w:pPr>
        <w:pStyle w:val="ListParagraph"/>
        <w:ind w:left="1440"/>
      </w:pPr>
    </w:p>
    <w:p w14:paraId="686A583C" w14:textId="2A528A60" w:rsidR="00F72CA3" w:rsidRDefault="00F72CA3" w:rsidP="00F72CA3">
      <w:pPr>
        <w:spacing w:after="120"/>
      </w:pPr>
      <w:r w:rsidRPr="00F72CA3">
        <w:rPr>
          <w:b/>
        </w:rPr>
        <w:t>Journal</w:t>
      </w:r>
      <w:r>
        <w:t>: To be Determined (TBD)</w:t>
      </w:r>
    </w:p>
    <w:p w14:paraId="27ED1C1B" w14:textId="2C01DCA0" w:rsidR="00B0177F" w:rsidRDefault="00F72CA3" w:rsidP="00E65BCA">
      <w:pPr>
        <w:spacing w:after="120"/>
      </w:pPr>
      <w:r w:rsidRPr="00F72CA3">
        <w:rPr>
          <w:b/>
        </w:rPr>
        <w:t>Timeline</w:t>
      </w:r>
      <w:r>
        <w:t xml:space="preserve">: Analyses will begin immediately upon receipt of data from SPARS. Ideal timeline for completion of analysis and submission of initial draft for peer review would be by December 31, 2020. </w:t>
      </w:r>
    </w:p>
    <w:sectPr w:rsidR="00B0177F" w:rsidSect="007623C9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4EEF"/>
    <w:multiLevelType w:val="hybridMultilevel"/>
    <w:tmpl w:val="CF266AE4"/>
    <w:lvl w:ilvl="0" w:tplc="36FCEC9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09D"/>
    <w:multiLevelType w:val="hybridMultilevel"/>
    <w:tmpl w:val="55B2E2D0"/>
    <w:lvl w:ilvl="0" w:tplc="36FCEC9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B3A"/>
    <w:multiLevelType w:val="hybridMultilevel"/>
    <w:tmpl w:val="A9D2495A"/>
    <w:lvl w:ilvl="0" w:tplc="36FCEC9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DDF"/>
    <w:multiLevelType w:val="hybridMultilevel"/>
    <w:tmpl w:val="E84C3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B"/>
    <w:rsid w:val="00086E2B"/>
    <w:rsid w:val="000B24C1"/>
    <w:rsid w:val="00135EA9"/>
    <w:rsid w:val="00286EC6"/>
    <w:rsid w:val="002E57AE"/>
    <w:rsid w:val="003054A5"/>
    <w:rsid w:val="00317326"/>
    <w:rsid w:val="00345599"/>
    <w:rsid w:val="00366B2C"/>
    <w:rsid w:val="00394ADB"/>
    <w:rsid w:val="003B7A8F"/>
    <w:rsid w:val="00410537"/>
    <w:rsid w:val="00430D00"/>
    <w:rsid w:val="004A611B"/>
    <w:rsid w:val="004C25C1"/>
    <w:rsid w:val="004E6F0A"/>
    <w:rsid w:val="005013C9"/>
    <w:rsid w:val="005149CC"/>
    <w:rsid w:val="005A3654"/>
    <w:rsid w:val="005B0295"/>
    <w:rsid w:val="005D517A"/>
    <w:rsid w:val="00703194"/>
    <w:rsid w:val="007256A5"/>
    <w:rsid w:val="007623C9"/>
    <w:rsid w:val="007B4095"/>
    <w:rsid w:val="008E25F2"/>
    <w:rsid w:val="00924F1D"/>
    <w:rsid w:val="00991517"/>
    <w:rsid w:val="00B0177F"/>
    <w:rsid w:val="00C72EAD"/>
    <w:rsid w:val="00CF359B"/>
    <w:rsid w:val="00D2425B"/>
    <w:rsid w:val="00D31A59"/>
    <w:rsid w:val="00D35EC2"/>
    <w:rsid w:val="00D761FC"/>
    <w:rsid w:val="00E65BCA"/>
    <w:rsid w:val="00E673F9"/>
    <w:rsid w:val="00F67A3D"/>
    <w:rsid w:val="00F70558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CEAE5"/>
  <w14:defaultImageDpi w14:val="300"/>
  <w15:docId w15:val="{1B564D31-BD43-42E5-9F47-667D325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N.D.R.I., Inc.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Chaple</dc:creator>
  <cp:keywords/>
  <dc:description/>
  <cp:lastModifiedBy>Kristen Gilmore Powell</cp:lastModifiedBy>
  <cp:revision>2</cp:revision>
  <cp:lastPrinted>2020-10-05T15:51:00Z</cp:lastPrinted>
  <dcterms:created xsi:type="dcterms:W3CDTF">2020-10-23T13:44:00Z</dcterms:created>
  <dcterms:modified xsi:type="dcterms:W3CDTF">2020-10-23T13:44:00Z</dcterms:modified>
</cp:coreProperties>
</file>